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0B100" w14:textId="77777777" w:rsidR="002B2ACB" w:rsidRPr="002B2ACB" w:rsidRDefault="002B2ACB" w:rsidP="002B2ACB">
      <w:pPr>
        <w:pStyle w:val="Afiliasi"/>
        <w:rPr>
          <w:rFonts w:eastAsia="MS Mincho"/>
          <w:b/>
          <w:bCs/>
          <w:iCs/>
          <w:sz w:val="28"/>
          <w:szCs w:val="28"/>
          <w:lang w:val="en-ID"/>
        </w:rPr>
      </w:pPr>
      <w:bookmarkStart w:id="0" w:name="_Hlk183077370"/>
      <w:r w:rsidRPr="002B2ACB">
        <w:rPr>
          <w:rFonts w:eastAsia="MS Mincho"/>
          <w:b/>
          <w:bCs/>
          <w:iCs/>
          <w:sz w:val="28"/>
          <w:szCs w:val="28"/>
          <w:lang w:val="en-ID"/>
        </w:rPr>
        <w:t>Legal Protection of Eigentumsverponding Deeds in the Context of Inheritance Rights</w:t>
      </w:r>
    </w:p>
    <w:bookmarkEnd w:id="0"/>
    <w:p w14:paraId="18DEBAA1" w14:textId="77777777" w:rsidR="00C405F9" w:rsidRPr="002B2ACB" w:rsidRDefault="00C405F9" w:rsidP="00C405F9">
      <w:pPr>
        <w:pStyle w:val="Afiliasi"/>
        <w:spacing w:before="0" w:after="0"/>
        <w:rPr>
          <w:rFonts w:eastAsia="Times New Roman"/>
          <w:b/>
          <w:sz w:val="24"/>
          <w:szCs w:val="24"/>
          <w:lang w:val="en-ID"/>
        </w:rPr>
      </w:pPr>
    </w:p>
    <w:p w14:paraId="7D9C2958" w14:textId="77777777" w:rsidR="002B2ACB" w:rsidRPr="002B2ACB" w:rsidRDefault="002B2ACB" w:rsidP="002B2ACB">
      <w:pPr>
        <w:pStyle w:val="Afiliasi"/>
        <w:rPr>
          <w:rFonts w:eastAsia="Times New Roman"/>
          <w:b/>
          <w:iCs/>
          <w:sz w:val="24"/>
          <w:szCs w:val="24"/>
          <w:vertAlign w:val="superscript"/>
          <w:lang w:val="en-US"/>
        </w:rPr>
      </w:pPr>
      <w:r w:rsidRPr="002B2ACB">
        <w:rPr>
          <w:rFonts w:eastAsia="Times New Roman"/>
          <w:b/>
          <w:iCs/>
          <w:sz w:val="24"/>
          <w:szCs w:val="24"/>
          <w:lang w:val="sk-SK"/>
        </w:rPr>
        <w:t>Titin Hartati</w:t>
      </w:r>
      <w:r w:rsidRPr="002B2ACB">
        <w:rPr>
          <w:rFonts w:eastAsia="Times New Roman"/>
          <w:b/>
          <w:iCs/>
          <w:sz w:val="24"/>
          <w:szCs w:val="24"/>
          <w:vertAlign w:val="superscript"/>
          <w:lang w:val="en-US"/>
        </w:rPr>
        <w:t>1</w:t>
      </w:r>
      <w:r w:rsidRPr="002B2ACB">
        <w:rPr>
          <w:rFonts w:eastAsia="Times New Roman"/>
          <w:b/>
          <w:iCs/>
          <w:sz w:val="24"/>
          <w:szCs w:val="24"/>
          <w:lang w:val="en-US"/>
        </w:rPr>
        <w:t>, Boy Nurdin</w:t>
      </w:r>
      <w:r w:rsidRPr="002B2ACB">
        <w:rPr>
          <w:rFonts w:eastAsia="Times New Roman"/>
          <w:b/>
          <w:iCs/>
          <w:sz w:val="24"/>
          <w:szCs w:val="24"/>
          <w:vertAlign w:val="superscript"/>
          <w:lang w:val="en-US"/>
        </w:rPr>
        <w:t>2</w:t>
      </w:r>
    </w:p>
    <w:p w14:paraId="59312285" w14:textId="77777777" w:rsidR="003214E8" w:rsidRPr="00E20928" w:rsidRDefault="003214E8" w:rsidP="003214E8">
      <w:pPr>
        <w:pStyle w:val="Afiliasi"/>
        <w:rPr>
          <w:rFonts w:eastAsia="Times New Roman"/>
          <w:i/>
          <w:iCs/>
          <w:vertAlign w:val="superscript"/>
          <w:lang w:val="en-US"/>
        </w:rPr>
      </w:pPr>
      <w:r w:rsidRPr="00E20928">
        <w:rPr>
          <w:rFonts w:eastAsia="Times New Roman"/>
          <w:i/>
          <w:iCs/>
          <w:lang w:val="en-US"/>
        </w:rPr>
        <w:t>Universitas Borobudur, Indonesia</w:t>
      </w:r>
      <w:r w:rsidRPr="00E20928">
        <w:rPr>
          <w:rFonts w:eastAsia="Times New Roman"/>
          <w:i/>
          <w:iCs/>
          <w:vertAlign w:val="superscript"/>
          <w:lang w:val="en-US"/>
        </w:rPr>
        <w:t>1,2</w:t>
      </w:r>
    </w:p>
    <w:p w14:paraId="02BD68F5" w14:textId="57121F42" w:rsidR="00E20928" w:rsidRDefault="002B2ACB" w:rsidP="002B2ACB">
      <w:pPr>
        <w:rPr>
          <w:iCs/>
          <w:vertAlign w:val="superscript"/>
          <w:lang w:val="sk-SK"/>
        </w:rPr>
      </w:pPr>
      <w:hyperlink r:id="rId8" w:history="1">
        <w:r w:rsidRPr="002B2ACB">
          <w:rPr>
            <w:rStyle w:val="Hyperlink"/>
            <w:iCs/>
          </w:rPr>
          <w:t>titinhartati42@gmail.com</w:t>
        </w:r>
        <w:r w:rsidRPr="002B2ACB">
          <w:rPr>
            <w:rStyle w:val="Hyperlink"/>
            <w:iCs/>
            <w:vertAlign w:val="superscript"/>
          </w:rPr>
          <w:t>1</w:t>
        </w:r>
      </w:hyperlink>
      <w:r w:rsidRPr="002B2ACB">
        <w:rPr>
          <w:iCs/>
        </w:rPr>
        <w:t xml:space="preserve">, </w:t>
      </w:r>
      <w:hyperlink r:id="rId9" w:history="1">
        <w:r w:rsidRPr="002B2ACB">
          <w:rPr>
            <w:rStyle w:val="Hyperlink"/>
            <w:iCs/>
          </w:rPr>
          <w:t>Drboynurdin_ppslaw@yahoo.com</w:t>
        </w:r>
        <w:r w:rsidRPr="002B2ACB">
          <w:rPr>
            <w:rStyle w:val="Hyperlink"/>
            <w:iCs/>
            <w:vertAlign w:val="superscript"/>
          </w:rPr>
          <w:t>2</w:t>
        </w:r>
      </w:hyperlink>
    </w:p>
    <w:p w14:paraId="07C34863" w14:textId="77777777" w:rsidR="00AE33C7" w:rsidRPr="00FE0C4E" w:rsidRDefault="00AE33C7" w:rsidP="00AE33C7">
      <w:pPr>
        <w:rPr>
          <w:i/>
          <w:iCs/>
          <w:lang w:val="sk-SK"/>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rPr>
              <w:t>ABSTRACT</w:t>
            </w:r>
          </w:p>
        </w:tc>
      </w:tr>
      <w:tr w:rsidR="00705C62" w14:paraId="73FCB6D5" w14:textId="77777777" w:rsidTr="00712731">
        <w:trPr>
          <w:trHeight w:val="1317"/>
        </w:trPr>
        <w:tc>
          <w:tcPr>
            <w:tcW w:w="8926" w:type="dxa"/>
          </w:tcPr>
          <w:p w14:paraId="2C708721" w14:textId="7B3729AE" w:rsidR="00705C62" w:rsidRPr="000010EA" w:rsidRDefault="002B2ACB" w:rsidP="002B2ACB">
            <w:pPr>
              <w:jc w:val="both"/>
              <w:rPr>
                <w:i/>
                <w:iCs/>
                <w:lang w:val="en-US"/>
              </w:rPr>
            </w:pPr>
            <w:r w:rsidRPr="002B2ACB">
              <w:rPr>
                <w:rFonts w:eastAsia="Times New Roman"/>
                <w:bCs/>
                <w:i/>
                <w:iCs/>
                <w:lang w:val="sk-SK"/>
              </w:rPr>
              <w:t>The strength of the eigendom verponding deed in the context of inheritance rights, as well as the legal protection provided to the rights holders. The eigendom verponding deed serves as valid proof of land ownership and has significant legal implications, especially in the inheritance process. This research explores the legal protection available for holders of eigendom verponding deeds and the legal consequences arising from such deeds in the context of inheritance rights. It has been found that this deed can function as strong evidence in the inheritance process; however, it is also vulnerable to disputes if not supported by adequate documentation. This study also discusses efforts that eigendom verponding rights holders can undertake to safeguard and protect their inheritance rights. These efforts include land rights registration, conversion of rights into ownership rights, and compliance with applicable legal provisions to ensure that inheritance rights are recognized and not lost. This research emphasizes the importance of a deep understanding of the rights and obligations of eigendom verponding deed holders, as well as the need for consultation with legal advisors to minimize the risk of losing rights.</w:t>
            </w:r>
          </w:p>
        </w:tc>
      </w:tr>
      <w:tr w:rsidR="00E91491" w14:paraId="68AFA08D" w14:textId="77777777" w:rsidTr="00712731">
        <w:trPr>
          <w:trHeight w:val="478"/>
        </w:trPr>
        <w:tc>
          <w:tcPr>
            <w:tcW w:w="8926" w:type="dxa"/>
          </w:tcPr>
          <w:p w14:paraId="7B177523" w14:textId="77777777" w:rsidR="002B2ACB" w:rsidRPr="002B2ACB" w:rsidRDefault="00E91491" w:rsidP="002B2ACB">
            <w:pPr>
              <w:pStyle w:val="abstrak"/>
              <w:spacing w:before="120"/>
              <w:ind w:left="164"/>
              <w:rPr>
                <w:bCs/>
                <w:i/>
                <w:iCs/>
                <w:lang w:val="en-US"/>
              </w:rPr>
            </w:pPr>
            <w:r w:rsidRPr="00AF1EDC">
              <w:rPr>
                <w:b/>
                <w:i/>
                <w:iCs/>
                <w:szCs w:val="20"/>
              </w:rPr>
              <w:t xml:space="preserve">Keywords: </w:t>
            </w:r>
            <w:r w:rsidR="002B2ACB" w:rsidRPr="002B2ACB">
              <w:rPr>
                <w:bCs/>
                <w:i/>
                <w:iCs/>
                <w:lang w:val="sk-SK"/>
              </w:rPr>
              <w:t>Eigendom Verponding, Certificate Deeds, Inheritance Rights, Land Registration.</w:t>
            </w:r>
          </w:p>
          <w:p w14:paraId="2B189241" w14:textId="4DF5C65C" w:rsidR="00E91491" w:rsidRPr="002B2ACB" w:rsidRDefault="00E91491" w:rsidP="002B2ACB">
            <w:pPr>
              <w:jc w:val="both"/>
              <w:rPr>
                <w:rFonts w:eastAsia="Times New Roman"/>
                <w:lang w:val="en-US"/>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t xml:space="preserve">This article </w:t>
      </w:r>
      <w:r w:rsidR="00976890" w:rsidRPr="00976890">
        <w:rPr>
          <w:shd w:val="clear" w:color="auto" w:fill="FFFFFF"/>
        </w:rPr>
        <w:t>is licensed under </w:t>
      </w:r>
      <w:hyperlink r:id="rId10" w:tgtFrame="_blank" w:history="1">
        <w:r w:rsidR="00976890" w:rsidRPr="00976890">
          <w:rPr>
            <w:rStyle w:val="Hyperlink"/>
            <w:color w:val="4F81BD" w:themeColor="accent1"/>
            <w:u w:val="none"/>
            <w:shd w:val="clear" w:color="auto" w:fill="FFFFFF"/>
          </w:rPr>
          <w:t>CC BY-SA 4.0 </w:t>
        </w:r>
        <w:r w:rsidR="00976890" w:rsidRPr="00976890">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712731">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440" w:right="1440" w:bottom="1440" w:left="1440" w:header="720" w:footer="809" w:gutter="0"/>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rPr>
        <w:t>INTRODUCTION</w:t>
      </w:r>
    </w:p>
    <w:p w14:paraId="6AF08381" w14:textId="77777777" w:rsidR="002B2ACB" w:rsidRPr="002B2ACB" w:rsidRDefault="002B2ACB" w:rsidP="00CD01DB">
      <w:pPr>
        <w:spacing w:line="276" w:lineRule="auto"/>
        <w:ind w:right="98" w:firstLine="567"/>
        <w:jc w:val="both"/>
        <w:rPr>
          <w:rFonts w:asciiTheme="majorBidi" w:hAnsiTheme="majorBidi" w:cstheme="majorBidi"/>
          <w:bCs/>
          <w:spacing w:val="-1"/>
          <w:sz w:val="24"/>
          <w:szCs w:val="24"/>
          <w:lang w:val="sk-SK"/>
        </w:rPr>
      </w:pPr>
      <w:r w:rsidRPr="002B2ACB">
        <w:rPr>
          <w:rFonts w:asciiTheme="majorBidi" w:hAnsiTheme="majorBidi" w:cstheme="majorBidi"/>
          <w:bCs/>
          <w:spacing w:val="-1"/>
          <w:sz w:val="24"/>
          <w:szCs w:val="24"/>
          <w:lang w:val="sk-SK"/>
        </w:rPr>
        <w:t>Land is one of the natural resources that plays a crucial role in human life, as it determines the existence and continuity of relationships and legal actions, both in the context of individuals, society, and the state. As an agrarian country, Indonesia requires legal certainty in land ownership rights, which must be supported by valid letters or documents. With such certainty, legitimate rights holders will feel safer and more at ease in using and utilizing the land. According to Bernhard Limbong in his book titled 'Land Conflicts', land holds significant importance for human life, as most aspects of human life depend on land. Land is a gift from God Almighty to humanity in the world. From birth until death, humans need land as a place to live and a source of livelihood. In this regard, land has significant economic, social, cultural, political, sociological, and ecological dimensions.</w:t>
      </w:r>
    </w:p>
    <w:p w14:paraId="27F1E480" w14:textId="77777777" w:rsidR="002B2ACB" w:rsidRPr="002B2ACB" w:rsidRDefault="002B2ACB" w:rsidP="00CD01DB">
      <w:pPr>
        <w:spacing w:line="276" w:lineRule="auto"/>
        <w:ind w:right="98" w:firstLine="567"/>
        <w:jc w:val="both"/>
        <w:rPr>
          <w:rFonts w:asciiTheme="majorBidi" w:hAnsiTheme="majorBidi" w:cstheme="majorBidi"/>
          <w:bCs/>
          <w:spacing w:val="-1"/>
          <w:sz w:val="24"/>
          <w:szCs w:val="24"/>
          <w:lang w:val="sk-SK"/>
        </w:rPr>
      </w:pPr>
      <w:r w:rsidRPr="002B2ACB">
        <w:rPr>
          <w:rFonts w:asciiTheme="majorBidi" w:hAnsiTheme="majorBidi" w:cstheme="majorBidi"/>
          <w:bCs/>
          <w:spacing w:val="-1"/>
          <w:sz w:val="24"/>
          <w:szCs w:val="24"/>
          <w:lang w:val="sk-SK"/>
        </w:rPr>
        <w:t>Land, in human life, is a 'conditio sine qua non', which means 'the prerequisite of land for human life'. The relationship between humans and land continues to develop into something broader and more complex, beginning with individual ownership of land to forms of regulation established by the state. In Indonesia, the regulation of land as part of the earth's surface is constitutionally governed by Article 33 Paragraph (3) of the 1945 Constitution, which states: "The earth and water and the natural resources contained therein are controlled by the state and used for the greatest prosperity of the people." From this provision, it can be concluded that Article 33 Paragraph (3) is closely related to land control. Land as the surface of the earth is controlled by the state for the interest and prosperity of the people.</w:t>
      </w:r>
    </w:p>
    <w:p w14:paraId="05D7C710" w14:textId="77777777" w:rsidR="002B2ACB" w:rsidRPr="002B2ACB" w:rsidRDefault="002B2ACB" w:rsidP="00CD01DB">
      <w:pPr>
        <w:spacing w:line="276" w:lineRule="auto"/>
        <w:ind w:right="98" w:firstLine="567"/>
        <w:jc w:val="both"/>
        <w:rPr>
          <w:rFonts w:asciiTheme="majorBidi" w:hAnsiTheme="majorBidi" w:cstheme="majorBidi"/>
          <w:bCs/>
          <w:spacing w:val="-1"/>
          <w:sz w:val="24"/>
          <w:szCs w:val="24"/>
          <w:lang w:val="sk-SK"/>
        </w:rPr>
      </w:pPr>
      <w:r w:rsidRPr="002B2ACB">
        <w:rPr>
          <w:rFonts w:asciiTheme="majorBidi" w:hAnsiTheme="majorBidi" w:cstheme="majorBidi"/>
          <w:bCs/>
          <w:spacing w:val="-1"/>
          <w:sz w:val="24"/>
          <w:szCs w:val="24"/>
          <w:lang w:val="sk-SK"/>
        </w:rPr>
        <w:t xml:space="preserve">Along with the development of national construction in various fields and an increasing need for legal certainty in land matters, various regulations have been enacted to govern land </w:t>
      </w:r>
      <w:r w:rsidRPr="002B2ACB">
        <w:rPr>
          <w:rFonts w:asciiTheme="majorBidi" w:hAnsiTheme="majorBidi" w:cstheme="majorBidi"/>
          <w:bCs/>
          <w:spacing w:val="-1"/>
          <w:sz w:val="24"/>
          <w:szCs w:val="24"/>
          <w:lang w:val="sk-SK"/>
        </w:rPr>
        <w:lastRenderedPageBreak/>
        <w:t>law in the form of laws. Law No. 5 of 1960 concerning Basic Agrarian Law (hereinafter referred to as UUPA) was enacted to meet the need for legal certainty for the community. The drafting of UUPA is based on Article 33 Paragraph (3) of the 1945 Constitution of the Unitary State of the Republic of Indonesia, which is included in Article 2 Paragraph (1) of the UUPA. The drafting process of UUPA has characteristics of uniformity, legal codification, and adopts principles of Western law. According to Boedi Harsono, the existence of UUPA will have a significant impact on national land laws through fundamental changes in the structure, basic concepts, and substance of legal regulations aimed at the prosperity of the people.</w:t>
      </w:r>
    </w:p>
    <w:p w14:paraId="41FC6C02" w14:textId="77777777" w:rsidR="002B2ACB" w:rsidRPr="002B2ACB" w:rsidRDefault="002B2ACB" w:rsidP="00CD01DB">
      <w:pPr>
        <w:spacing w:line="276" w:lineRule="auto"/>
        <w:ind w:right="98" w:firstLine="567"/>
        <w:jc w:val="both"/>
        <w:rPr>
          <w:rFonts w:asciiTheme="majorBidi" w:hAnsiTheme="majorBidi" w:cstheme="majorBidi"/>
          <w:bCs/>
          <w:spacing w:val="-1"/>
          <w:sz w:val="24"/>
          <w:szCs w:val="24"/>
          <w:lang w:val="sk-SK"/>
        </w:rPr>
      </w:pPr>
      <w:r w:rsidRPr="002B2ACB">
        <w:rPr>
          <w:rFonts w:asciiTheme="majorBidi" w:hAnsiTheme="majorBidi" w:cstheme="majorBidi"/>
          <w:bCs/>
          <w:spacing w:val="-1"/>
          <w:sz w:val="24"/>
          <w:szCs w:val="24"/>
          <w:lang w:val="sk-SK"/>
        </w:rPr>
        <w:t>Considering that prior to 1960, Indonesia operated under a dualism of land law. Land laws originating from the Dutch colonial era, which regulated land under Western Civil Law, are often referred to as Western Land or European Land. Examples include eigendom rights, opstal rights, erfpacht rights, and so forth. On the other hand, there is land control by indigenous people, which is subject to customary law, which lacks written evidence. The land owned by the local population is often referred to as customary land, such as ulayat rights, yasan land, and gogolan land. The enactment of the Basic Agrarian Law (UUPA) also abolished colonial agrarian laws that were dualistic. This legal dualism is reflected in the existence of two legal systems, namely customary law and Western law, which apply to lands in Indonesia. The abolition of this legal dualism is realized in the principle of legal unification, which means that there is only one national agrarian legal regulation that applies in Indonesia.</w:t>
      </w:r>
    </w:p>
    <w:p w14:paraId="0BC84F3D" w14:textId="77777777" w:rsidR="002B2ACB" w:rsidRPr="002B2ACB" w:rsidRDefault="002B2ACB" w:rsidP="00CD01DB">
      <w:pPr>
        <w:spacing w:line="276" w:lineRule="auto"/>
        <w:ind w:right="98" w:firstLine="567"/>
        <w:jc w:val="both"/>
        <w:rPr>
          <w:rFonts w:asciiTheme="majorBidi" w:hAnsiTheme="majorBidi" w:cstheme="majorBidi"/>
          <w:bCs/>
          <w:spacing w:val="-1"/>
          <w:sz w:val="24"/>
          <w:szCs w:val="24"/>
          <w:lang w:val="sk-SK"/>
        </w:rPr>
      </w:pPr>
      <w:r w:rsidRPr="002B2ACB">
        <w:rPr>
          <w:rFonts w:asciiTheme="majorBidi" w:hAnsiTheme="majorBidi" w:cstheme="majorBidi"/>
          <w:bCs/>
          <w:spacing w:val="-1"/>
          <w:sz w:val="24"/>
          <w:szCs w:val="24"/>
          <w:lang w:val="sk-SK"/>
        </w:rPr>
        <w:t>In the framework of national agrarian legal regulation, namely UUPA, the principle of unification is implemented in Articles I to IX of Part Two regarding UUPA Conversion Provisions. The regulations in these articles are aimed at land with Western rights and customary rights, so that they can be converted into rights to land that have been determined. The types of Western rights regulated in these conversion provisions include eigendom rights, opstal rights, and erfpacht rights.</w:t>
      </w:r>
    </w:p>
    <w:p w14:paraId="1E9487B7" w14:textId="77777777" w:rsidR="002B2ACB" w:rsidRPr="002B2ACB" w:rsidRDefault="002B2ACB" w:rsidP="00CD01DB">
      <w:pPr>
        <w:spacing w:line="276" w:lineRule="auto"/>
        <w:ind w:right="98" w:firstLine="567"/>
        <w:jc w:val="both"/>
        <w:rPr>
          <w:rFonts w:asciiTheme="majorBidi" w:hAnsiTheme="majorBidi" w:cstheme="majorBidi"/>
          <w:bCs/>
          <w:spacing w:val="-1"/>
          <w:sz w:val="24"/>
          <w:szCs w:val="24"/>
          <w:lang w:val="sk-SK"/>
        </w:rPr>
      </w:pPr>
      <w:r w:rsidRPr="002B2ACB">
        <w:rPr>
          <w:rFonts w:asciiTheme="majorBidi" w:hAnsiTheme="majorBidi" w:cstheme="majorBidi"/>
          <w:bCs/>
          <w:spacing w:val="-1"/>
          <w:sz w:val="24"/>
          <w:szCs w:val="24"/>
          <w:lang w:val="sk-SK"/>
        </w:rPr>
        <w:t>Eigendom rights are one type of land rights that are subject to Western agrarian law. This right gives the owner full freedom to enjoy and utilize an object in accordance with prevailing laws, provided that it does not interfere with other parties. Following the enactment of the Basic Agrarian Law (UUPA), the provisions concerning eigendom rights in the Civil Code (KUH Perdata) are no longer applicable, so these eigendom rights need to be converted. According to A.P. Parlindungan, conversion is the process of adjusting old land rights that existed before the UUPA came into effect so that they can fall under the category of land rights regulated by the UUPA. Meanwhile, Effendi Perangin defines conversion as a change in land rights that occurs in connection with the enactment of the UUPA.</w:t>
      </w:r>
    </w:p>
    <w:p w14:paraId="432745EE" w14:textId="77777777" w:rsidR="002B2ACB" w:rsidRPr="002B2ACB" w:rsidRDefault="002B2ACB" w:rsidP="00CD01DB">
      <w:pPr>
        <w:spacing w:line="276" w:lineRule="auto"/>
        <w:ind w:right="98" w:firstLine="567"/>
        <w:jc w:val="both"/>
        <w:rPr>
          <w:rFonts w:asciiTheme="majorBidi" w:hAnsiTheme="majorBidi" w:cstheme="majorBidi"/>
          <w:bCs/>
          <w:spacing w:val="-1"/>
          <w:sz w:val="24"/>
          <w:szCs w:val="24"/>
          <w:lang w:val="sk-SK"/>
        </w:rPr>
      </w:pPr>
      <w:r w:rsidRPr="002B2ACB">
        <w:rPr>
          <w:rFonts w:asciiTheme="majorBidi" w:hAnsiTheme="majorBidi" w:cstheme="majorBidi"/>
          <w:bCs/>
          <w:spacing w:val="-1"/>
          <w:sz w:val="24"/>
          <w:szCs w:val="24"/>
          <w:lang w:val="sk-SK"/>
        </w:rPr>
        <w:t>Eigendom rights, which fall into the category of Western land rights, are granted a period of 20 (twenty) years, from September 24, 1960, to September 24, 1980, to be converted. If the conversion of eigendom rights has not been completed after the deadline, then the land will automatically have the status of land controlled directly by the state.</w:t>
      </w:r>
    </w:p>
    <w:p w14:paraId="54B29C1E" w14:textId="77777777" w:rsidR="002B2ACB" w:rsidRPr="002B2ACB" w:rsidRDefault="002B2ACB" w:rsidP="00CD01DB">
      <w:pPr>
        <w:spacing w:line="276" w:lineRule="auto"/>
        <w:ind w:right="98" w:firstLine="567"/>
        <w:jc w:val="both"/>
        <w:rPr>
          <w:rFonts w:asciiTheme="majorBidi" w:hAnsiTheme="majorBidi" w:cstheme="majorBidi"/>
          <w:bCs/>
          <w:spacing w:val="-1"/>
          <w:sz w:val="24"/>
          <w:szCs w:val="24"/>
          <w:lang w:val="sk-SK"/>
        </w:rPr>
      </w:pPr>
      <w:r w:rsidRPr="002B2ACB">
        <w:rPr>
          <w:rFonts w:asciiTheme="majorBidi" w:hAnsiTheme="majorBidi" w:cstheme="majorBidi"/>
          <w:bCs/>
          <w:spacing w:val="-1"/>
          <w:sz w:val="24"/>
          <w:szCs w:val="24"/>
          <w:lang w:val="sk-SK"/>
        </w:rPr>
        <w:t xml:space="preserve">The issue concerning the acquisition of land rights from state land that was once eigendom rights is exemplified in Decision Number 570/PDT/2017/PT BDG. In this decision, located in Dago Elos, Dago Village, Coblong District, Bandung City, this land has been occupied by hundreds of residents who claim to be heirs of the eigendom rights holders. The land has a clear history of ownership, with documents such as Eigendom Verponding Numbers 3740, 3741, and 3742, as well as a deed showing the transfer of rights to PT Dago Inti Graha </w:t>
      </w:r>
      <w:r w:rsidRPr="002B2ACB">
        <w:rPr>
          <w:rFonts w:asciiTheme="majorBidi" w:hAnsiTheme="majorBidi" w:cstheme="majorBidi"/>
          <w:bCs/>
          <w:spacing w:val="-1"/>
          <w:sz w:val="24"/>
          <w:szCs w:val="24"/>
          <w:lang w:val="sk-SK"/>
        </w:rPr>
        <w:lastRenderedPageBreak/>
        <w:t>in 2016. However, in 2016, the heirs of the eigendom rights holders (referred to as the Plaintiffs) claimed that they were entitled to the land currently occupied by the residents of Dago Elos (referred to as the Defendants). As a result, the land became disputed. The matter became more complicated because the land had not been converted into land rights regulated by the Basic Agrarian Law, so its status automatically became state land.</w:t>
      </w:r>
    </w:p>
    <w:p w14:paraId="631C10E0" w14:textId="77777777" w:rsidR="002B2ACB" w:rsidRPr="002B2ACB" w:rsidRDefault="002B2ACB" w:rsidP="00CD01DB">
      <w:pPr>
        <w:spacing w:line="276" w:lineRule="auto"/>
        <w:ind w:right="98" w:firstLine="567"/>
        <w:jc w:val="both"/>
        <w:rPr>
          <w:rFonts w:asciiTheme="majorBidi" w:hAnsiTheme="majorBidi" w:cstheme="majorBidi"/>
          <w:bCs/>
          <w:spacing w:val="-1"/>
          <w:sz w:val="24"/>
          <w:szCs w:val="24"/>
        </w:rPr>
      </w:pPr>
      <w:r w:rsidRPr="002B2ACB">
        <w:rPr>
          <w:rFonts w:asciiTheme="majorBidi" w:hAnsiTheme="majorBidi" w:cstheme="majorBidi"/>
          <w:bCs/>
          <w:spacing w:val="-1"/>
          <w:sz w:val="24"/>
          <w:szCs w:val="24"/>
          <w:lang w:val="sk-SK"/>
        </w:rPr>
        <w:t>The residents of Dago Elos feel they have rights to the disputed land because they have controlled and utilized it for decades. On the other hand, the heirs of the eigendom rights also feel entitled as they possess legal evidence, namely a decree from the Cimahi Class IA Religious Court stating that they are legitimate heirs, as well as clear land ownership documents. Based on the above case example and a brief explanation regarding land regulations, there arises an issue to be researched in this study. This research will discuss legal protection and weaknesses regarding eigendom verponding deeds in the context of inheritance rights, based on their legal standing and legal consequences, as well as the efforts for eigendom verponding rights holders in the form of inheritance rights to prevent the loss of their rights.</w:t>
      </w:r>
    </w:p>
    <w:p w14:paraId="7CAB82B7" w14:textId="77777777" w:rsidR="006B34E5" w:rsidRPr="00CD01DB" w:rsidRDefault="006B34E5" w:rsidP="00CD01DB">
      <w:pPr>
        <w:spacing w:line="276" w:lineRule="auto"/>
        <w:ind w:right="98"/>
        <w:jc w:val="both"/>
        <w:rPr>
          <w:rFonts w:asciiTheme="majorBidi" w:hAnsiTheme="majorBidi" w:cstheme="majorBidi"/>
          <w:sz w:val="24"/>
          <w:szCs w:val="24"/>
        </w:rPr>
      </w:pPr>
    </w:p>
    <w:p w14:paraId="07D9FB2F" w14:textId="1FC7F14E" w:rsidR="00A11FF4" w:rsidRPr="00CD01DB" w:rsidRDefault="00AA7648" w:rsidP="00CD01DB">
      <w:pPr>
        <w:pStyle w:val="BodyText"/>
        <w:spacing w:line="276" w:lineRule="auto"/>
        <w:ind w:right="98" w:firstLine="0"/>
        <w:rPr>
          <w:rFonts w:asciiTheme="majorBidi" w:hAnsiTheme="majorBidi" w:cstheme="majorBidi"/>
          <w:b/>
          <w:sz w:val="24"/>
          <w:szCs w:val="24"/>
        </w:rPr>
      </w:pPr>
      <w:r w:rsidRPr="00CD01DB">
        <w:rPr>
          <w:rFonts w:asciiTheme="majorBidi" w:hAnsiTheme="majorBidi" w:cstheme="majorBidi"/>
          <w:b/>
          <w:sz w:val="24"/>
          <w:szCs w:val="24"/>
        </w:rPr>
        <w:t>METHOD</w:t>
      </w:r>
    </w:p>
    <w:p w14:paraId="707EE385" w14:textId="6CF7748B" w:rsidR="002B2ACB" w:rsidRPr="002B2ACB" w:rsidRDefault="002B2ACB" w:rsidP="00CD01DB">
      <w:pPr>
        <w:pStyle w:val="BodyText"/>
        <w:spacing w:line="276" w:lineRule="auto"/>
        <w:ind w:right="98" w:firstLine="567"/>
        <w:rPr>
          <w:rFonts w:asciiTheme="majorBidi" w:hAnsiTheme="majorBidi" w:cstheme="majorBidi"/>
          <w:bCs/>
          <w:iCs/>
          <w:sz w:val="24"/>
          <w:szCs w:val="24"/>
          <w:lang w:val="en-ID"/>
        </w:rPr>
      </w:pPr>
      <w:r w:rsidRPr="002B2ACB">
        <w:rPr>
          <w:rFonts w:asciiTheme="majorBidi" w:hAnsiTheme="majorBidi" w:cstheme="majorBidi"/>
          <w:bCs/>
          <w:iCs/>
          <w:sz w:val="24"/>
          <w:szCs w:val="24"/>
          <w:lang w:val="en-ID"/>
        </w:rPr>
        <w:t xml:space="preserve">In this research, the method used is the statutory approach, also known as the legal approach or normative legal research, which is a process to discover legal rules, principles, and doctrines </w:t>
      </w:r>
      <w:r w:rsidRPr="00CD01DB">
        <w:rPr>
          <w:rFonts w:asciiTheme="majorBidi" w:hAnsiTheme="majorBidi" w:cstheme="majorBidi"/>
          <w:bCs/>
          <w:iCs/>
          <w:sz w:val="24"/>
          <w:szCs w:val="24"/>
          <w:lang w:val="en-ID"/>
        </w:rPr>
        <w:t>to</w:t>
      </w:r>
      <w:r w:rsidRPr="002B2ACB">
        <w:rPr>
          <w:rFonts w:asciiTheme="majorBidi" w:hAnsiTheme="majorBidi" w:cstheme="majorBidi"/>
          <w:bCs/>
          <w:iCs/>
          <w:sz w:val="24"/>
          <w:szCs w:val="24"/>
          <w:lang w:val="en-ID"/>
        </w:rPr>
        <w:t xml:space="preserve"> address the legal issues faced regarding the strength of </w:t>
      </w:r>
      <w:proofErr w:type="spellStart"/>
      <w:r w:rsidRPr="002B2ACB">
        <w:rPr>
          <w:rFonts w:asciiTheme="majorBidi" w:hAnsiTheme="majorBidi" w:cstheme="majorBidi"/>
          <w:bCs/>
          <w:iCs/>
          <w:sz w:val="24"/>
          <w:szCs w:val="24"/>
          <w:lang w:val="en-ID"/>
        </w:rPr>
        <w:t>eigendom</w:t>
      </w:r>
      <w:proofErr w:type="spellEnd"/>
      <w:r w:rsidRPr="002B2ACB">
        <w:rPr>
          <w:rFonts w:asciiTheme="majorBidi" w:hAnsiTheme="majorBidi" w:cstheme="majorBidi"/>
          <w:bCs/>
          <w:iCs/>
          <w:sz w:val="24"/>
          <w:szCs w:val="24"/>
          <w:lang w:val="en-ID"/>
        </w:rPr>
        <w:t xml:space="preserve"> </w:t>
      </w:r>
      <w:proofErr w:type="spellStart"/>
      <w:r w:rsidRPr="002B2ACB">
        <w:rPr>
          <w:rFonts w:asciiTheme="majorBidi" w:hAnsiTheme="majorBidi" w:cstheme="majorBidi"/>
          <w:bCs/>
          <w:iCs/>
          <w:sz w:val="24"/>
          <w:szCs w:val="24"/>
          <w:lang w:val="en-ID"/>
        </w:rPr>
        <w:t>verponding</w:t>
      </w:r>
      <w:proofErr w:type="spellEnd"/>
      <w:r w:rsidRPr="002B2ACB">
        <w:rPr>
          <w:rFonts w:asciiTheme="majorBidi" w:hAnsiTheme="majorBidi" w:cstheme="majorBidi"/>
          <w:bCs/>
          <w:iCs/>
          <w:sz w:val="24"/>
          <w:szCs w:val="24"/>
          <w:lang w:val="en-ID"/>
        </w:rPr>
        <w:t xml:space="preserve"> deeds in the context of inheritance rights based on their legal standing and legal consequences. </w:t>
      </w:r>
    </w:p>
    <w:p w14:paraId="4EEB631F" w14:textId="77777777" w:rsidR="002B2ACB" w:rsidRPr="002B2ACB" w:rsidRDefault="002B2ACB" w:rsidP="00CD01DB">
      <w:pPr>
        <w:pStyle w:val="BodyText"/>
        <w:spacing w:line="276" w:lineRule="auto"/>
        <w:ind w:right="98" w:firstLine="567"/>
        <w:rPr>
          <w:rFonts w:asciiTheme="majorBidi" w:hAnsiTheme="majorBidi" w:cstheme="majorBidi"/>
          <w:bCs/>
          <w:iCs/>
          <w:sz w:val="24"/>
          <w:szCs w:val="24"/>
          <w:lang w:val="sk-SK"/>
        </w:rPr>
      </w:pPr>
      <w:r w:rsidRPr="002B2ACB">
        <w:rPr>
          <w:rFonts w:asciiTheme="majorBidi" w:hAnsiTheme="majorBidi" w:cstheme="majorBidi"/>
          <w:bCs/>
          <w:iCs/>
          <w:sz w:val="24"/>
          <w:szCs w:val="24"/>
          <w:lang w:val="en-ID"/>
        </w:rPr>
        <w:t xml:space="preserve">The case approach is conducted by </w:t>
      </w:r>
      <w:proofErr w:type="spellStart"/>
      <w:r w:rsidRPr="002B2ACB">
        <w:rPr>
          <w:rFonts w:asciiTheme="majorBidi" w:hAnsiTheme="majorBidi" w:cstheme="majorBidi"/>
          <w:bCs/>
          <w:iCs/>
          <w:sz w:val="24"/>
          <w:szCs w:val="24"/>
          <w:lang w:val="en-ID"/>
        </w:rPr>
        <w:t>analyzing</w:t>
      </w:r>
      <w:proofErr w:type="spellEnd"/>
      <w:r w:rsidRPr="002B2ACB">
        <w:rPr>
          <w:rFonts w:asciiTheme="majorBidi" w:hAnsiTheme="majorBidi" w:cstheme="majorBidi"/>
          <w:bCs/>
          <w:iCs/>
          <w:sz w:val="24"/>
          <w:szCs w:val="24"/>
          <w:lang w:val="en-ID"/>
        </w:rPr>
        <w:t xml:space="preserve"> and examining cases as a guideline for legal issues related to the strength of </w:t>
      </w:r>
      <w:proofErr w:type="spellStart"/>
      <w:r w:rsidRPr="002B2ACB">
        <w:rPr>
          <w:rFonts w:asciiTheme="majorBidi" w:hAnsiTheme="majorBidi" w:cstheme="majorBidi"/>
          <w:bCs/>
          <w:iCs/>
          <w:sz w:val="24"/>
          <w:szCs w:val="24"/>
          <w:lang w:val="en-ID"/>
        </w:rPr>
        <w:t>eigendom</w:t>
      </w:r>
      <w:proofErr w:type="spellEnd"/>
      <w:r w:rsidRPr="002B2ACB">
        <w:rPr>
          <w:rFonts w:asciiTheme="majorBidi" w:hAnsiTheme="majorBidi" w:cstheme="majorBidi"/>
          <w:bCs/>
          <w:iCs/>
          <w:sz w:val="24"/>
          <w:szCs w:val="24"/>
          <w:lang w:val="en-ID"/>
        </w:rPr>
        <w:t xml:space="preserve"> </w:t>
      </w:r>
      <w:proofErr w:type="spellStart"/>
      <w:r w:rsidRPr="002B2ACB">
        <w:rPr>
          <w:rFonts w:asciiTheme="majorBidi" w:hAnsiTheme="majorBidi" w:cstheme="majorBidi"/>
          <w:bCs/>
          <w:iCs/>
          <w:sz w:val="24"/>
          <w:szCs w:val="24"/>
          <w:lang w:val="en-ID"/>
        </w:rPr>
        <w:t>verponding</w:t>
      </w:r>
      <w:proofErr w:type="spellEnd"/>
      <w:r w:rsidRPr="002B2ACB">
        <w:rPr>
          <w:rFonts w:asciiTheme="majorBidi" w:hAnsiTheme="majorBidi" w:cstheme="majorBidi"/>
          <w:bCs/>
          <w:iCs/>
          <w:sz w:val="24"/>
          <w:szCs w:val="24"/>
          <w:lang w:val="en-ID"/>
        </w:rPr>
        <w:t xml:space="preserve"> deeds in the context of inheritance rights based on their legal standing and legal consequences. Additionally, the conceptual approach is based on the views and doctrinal patterns or ideas from legal scholars that have developed in the field of law. From the various approaches and legal research presented, this study will address whether the revitalization program has been in accordance with the offenses related to land issues.</w:t>
      </w:r>
    </w:p>
    <w:p w14:paraId="76823BFD" w14:textId="77777777" w:rsidR="00377069" w:rsidRPr="00CD01DB" w:rsidRDefault="00377069" w:rsidP="00CD01DB">
      <w:pPr>
        <w:pStyle w:val="BodyText"/>
        <w:spacing w:line="276" w:lineRule="auto"/>
        <w:ind w:right="98" w:firstLine="0"/>
        <w:rPr>
          <w:rFonts w:asciiTheme="majorBidi" w:hAnsiTheme="majorBidi" w:cstheme="majorBidi"/>
          <w:b/>
          <w:sz w:val="24"/>
          <w:szCs w:val="24"/>
          <w:lang w:val="sk-SK"/>
        </w:rPr>
      </w:pPr>
    </w:p>
    <w:p w14:paraId="356ED5A1" w14:textId="05CF2319" w:rsidR="00D60B6C" w:rsidRPr="00CD01DB" w:rsidRDefault="00AA7648" w:rsidP="00CD01DB">
      <w:pPr>
        <w:pStyle w:val="BodyText"/>
        <w:spacing w:line="276" w:lineRule="auto"/>
        <w:ind w:right="98" w:firstLine="0"/>
        <w:rPr>
          <w:rFonts w:asciiTheme="majorBidi" w:hAnsiTheme="majorBidi" w:cstheme="majorBidi"/>
          <w:b/>
          <w:sz w:val="24"/>
          <w:szCs w:val="24"/>
        </w:rPr>
      </w:pPr>
      <w:r w:rsidRPr="00CD01DB">
        <w:rPr>
          <w:rFonts w:asciiTheme="majorBidi" w:hAnsiTheme="majorBidi" w:cstheme="majorBidi"/>
          <w:b/>
          <w:sz w:val="24"/>
          <w:szCs w:val="24"/>
        </w:rPr>
        <w:t>RESULTS AND DISCUSSION</w:t>
      </w:r>
    </w:p>
    <w:p w14:paraId="7E47A690" w14:textId="77777777" w:rsidR="002B2ACB" w:rsidRPr="002B2ACB" w:rsidRDefault="002B2ACB" w:rsidP="00CD01DB">
      <w:pPr>
        <w:pStyle w:val="BodyText"/>
        <w:tabs>
          <w:tab w:val="left" w:pos="5250"/>
        </w:tabs>
        <w:spacing w:line="276" w:lineRule="auto"/>
        <w:ind w:right="98" w:firstLine="0"/>
        <w:rPr>
          <w:rFonts w:asciiTheme="majorBidi" w:eastAsia="Calibri" w:hAnsiTheme="majorBidi" w:cstheme="majorBidi"/>
          <w:b/>
          <w:bCs/>
          <w:iCs/>
          <w:sz w:val="24"/>
          <w:szCs w:val="24"/>
          <w:lang w:val="sk-SK"/>
        </w:rPr>
      </w:pPr>
      <w:r w:rsidRPr="002B2ACB">
        <w:rPr>
          <w:rFonts w:asciiTheme="majorBidi" w:eastAsia="Calibri" w:hAnsiTheme="majorBidi" w:cstheme="majorBidi"/>
          <w:b/>
          <w:bCs/>
          <w:iCs/>
          <w:sz w:val="24"/>
          <w:szCs w:val="24"/>
          <w:lang w:val="sk-SK"/>
        </w:rPr>
        <w:t>Legal Protection and Legal Consequences of Eigendom Verponding Deeds in the Context of Inheritance Rights</w:t>
      </w:r>
    </w:p>
    <w:p w14:paraId="676CDE26" w14:textId="77777777" w:rsidR="00CD01D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On Decision Number 570/PDT/2017/PT BDG, which originated from a land dispute background between </w:t>
      </w:r>
      <w:proofErr w:type="spellStart"/>
      <w:r w:rsidRPr="002B2ACB">
        <w:rPr>
          <w:rFonts w:asciiTheme="majorBidi" w:eastAsia="Calibri" w:hAnsiTheme="majorBidi" w:cstheme="majorBidi"/>
          <w:iCs/>
          <w:sz w:val="24"/>
          <w:szCs w:val="24"/>
          <w:lang w:val="en-ID"/>
        </w:rPr>
        <w:t>Hj</w:t>
      </w:r>
      <w:proofErr w:type="spellEnd"/>
      <w:r w:rsidRPr="002B2ACB">
        <w:rPr>
          <w:rFonts w:asciiTheme="majorBidi" w:eastAsia="Calibri" w:hAnsiTheme="majorBidi" w:cstheme="majorBidi"/>
          <w:iCs/>
          <w:sz w:val="24"/>
          <w:szCs w:val="24"/>
          <w:lang w:val="en-ID"/>
        </w:rPr>
        <w:t xml:space="preserve">. Siti </w:t>
      </w:r>
      <w:proofErr w:type="spellStart"/>
      <w:r w:rsidRPr="002B2ACB">
        <w:rPr>
          <w:rFonts w:asciiTheme="majorBidi" w:eastAsia="Calibri" w:hAnsiTheme="majorBidi" w:cstheme="majorBidi"/>
          <w:iCs/>
          <w:sz w:val="24"/>
          <w:szCs w:val="24"/>
          <w:lang w:val="en-ID"/>
        </w:rPr>
        <w:t>Solehah</w:t>
      </w:r>
      <w:proofErr w:type="spellEnd"/>
      <w:r w:rsidRPr="002B2ACB">
        <w:rPr>
          <w:rFonts w:asciiTheme="majorBidi" w:eastAsia="Calibri" w:hAnsiTheme="majorBidi" w:cstheme="majorBidi"/>
          <w:iCs/>
          <w:sz w:val="24"/>
          <w:szCs w:val="24"/>
          <w:lang w:val="en-ID"/>
        </w:rPr>
        <w:t xml:space="preserve"> and the DKI Jakarta Regional Government (</w:t>
      </w:r>
      <w:proofErr w:type="spellStart"/>
      <w:r w:rsidRPr="002B2ACB">
        <w:rPr>
          <w:rFonts w:asciiTheme="majorBidi" w:eastAsia="Calibri" w:hAnsiTheme="majorBidi" w:cstheme="majorBidi"/>
          <w:iCs/>
          <w:sz w:val="24"/>
          <w:szCs w:val="24"/>
          <w:lang w:val="en-ID"/>
        </w:rPr>
        <w:t>Pemda</w:t>
      </w:r>
      <w:proofErr w:type="spellEnd"/>
      <w:r w:rsidRPr="002B2ACB">
        <w:rPr>
          <w:rFonts w:asciiTheme="majorBidi" w:eastAsia="Calibri" w:hAnsiTheme="majorBidi" w:cstheme="majorBidi"/>
          <w:iCs/>
          <w:sz w:val="24"/>
          <w:szCs w:val="24"/>
          <w:lang w:val="en-ID"/>
        </w:rPr>
        <w:t xml:space="preserve">). This dispute was triggered by the issuance of Decree Number: 24/HPL/DA/87 dated May 27, 1987, regarding the granting of Management Rights in the name of the </w:t>
      </w:r>
      <w:proofErr w:type="spellStart"/>
      <w:r w:rsidRPr="002B2ACB">
        <w:rPr>
          <w:rFonts w:asciiTheme="majorBidi" w:eastAsia="Calibri" w:hAnsiTheme="majorBidi" w:cstheme="majorBidi"/>
          <w:iCs/>
          <w:sz w:val="24"/>
          <w:szCs w:val="24"/>
          <w:lang w:val="en-ID"/>
        </w:rPr>
        <w:t>Kemayoran</w:t>
      </w:r>
      <w:proofErr w:type="spellEnd"/>
      <w:r w:rsidRPr="002B2ACB">
        <w:rPr>
          <w:rFonts w:asciiTheme="majorBidi" w:eastAsia="Calibri" w:hAnsiTheme="majorBidi" w:cstheme="majorBidi"/>
          <w:iCs/>
          <w:sz w:val="24"/>
          <w:szCs w:val="24"/>
          <w:lang w:val="en-ID"/>
        </w:rPr>
        <w:t xml:space="preserve"> Complex Management </w:t>
      </w:r>
      <w:proofErr w:type="spellStart"/>
      <w:r w:rsidRPr="002B2ACB">
        <w:rPr>
          <w:rFonts w:asciiTheme="majorBidi" w:eastAsia="Calibri" w:hAnsiTheme="majorBidi" w:cstheme="majorBidi"/>
          <w:iCs/>
          <w:sz w:val="24"/>
          <w:szCs w:val="24"/>
          <w:lang w:val="en-ID"/>
        </w:rPr>
        <w:t>Center</w:t>
      </w:r>
      <w:proofErr w:type="spellEnd"/>
      <w:r w:rsidRPr="002B2ACB">
        <w:rPr>
          <w:rFonts w:asciiTheme="majorBidi" w:eastAsia="Calibri" w:hAnsiTheme="majorBidi" w:cstheme="majorBidi"/>
          <w:iCs/>
          <w:sz w:val="24"/>
          <w:szCs w:val="24"/>
          <w:lang w:val="en-ID"/>
        </w:rPr>
        <w:t>, issued by the Minister of Home Affairs. Additionally, there was also Management Rights Certificate Number: 1/</w:t>
      </w:r>
      <w:proofErr w:type="spellStart"/>
      <w:r w:rsidRPr="002B2ACB">
        <w:rPr>
          <w:rFonts w:asciiTheme="majorBidi" w:eastAsia="Calibri" w:hAnsiTheme="majorBidi" w:cstheme="majorBidi"/>
          <w:iCs/>
          <w:sz w:val="24"/>
          <w:szCs w:val="24"/>
          <w:lang w:val="en-ID"/>
        </w:rPr>
        <w:t>Gunung</w:t>
      </w:r>
      <w:proofErr w:type="spellEnd"/>
      <w:r w:rsidRPr="002B2ACB">
        <w:rPr>
          <w:rFonts w:asciiTheme="majorBidi" w:eastAsia="Calibri" w:hAnsiTheme="majorBidi" w:cstheme="majorBidi"/>
          <w:iCs/>
          <w:sz w:val="24"/>
          <w:szCs w:val="24"/>
          <w:lang w:val="en-ID"/>
        </w:rPr>
        <w:t xml:space="preserve"> Sahari Utara dated March 11, 1987, in the name of the </w:t>
      </w:r>
      <w:proofErr w:type="spellStart"/>
      <w:r w:rsidRPr="002B2ACB">
        <w:rPr>
          <w:rFonts w:asciiTheme="majorBidi" w:eastAsia="Calibri" w:hAnsiTheme="majorBidi" w:cstheme="majorBidi"/>
          <w:iCs/>
          <w:sz w:val="24"/>
          <w:szCs w:val="24"/>
          <w:lang w:val="en-ID"/>
        </w:rPr>
        <w:t>Kemayoran</w:t>
      </w:r>
      <w:proofErr w:type="spellEnd"/>
      <w:r w:rsidRPr="002B2ACB">
        <w:rPr>
          <w:rFonts w:asciiTheme="majorBidi" w:eastAsia="Calibri" w:hAnsiTheme="majorBidi" w:cstheme="majorBidi"/>
          <w:iCs/>
          <w:sz w:val="24"/>
          <w:szCs w:val="24"/>
          <w:lang w:val="en-ID"/>
        </w:rPr>
        <w:t xml:space="preserve"> Complex Management </w:t>
      </w:r>
      <w:proofErr w:type="spellStart"/>
      <w:r w:rsidRPr="002B2ACB">
        <w:rPr>
          <w:rFonts w:asciiTheme="majorBidi" w:eastAsia="Calibri" w:hAnsiTheme="majorBidi" w:cstheme="majorBidi"/>
          <w:iCs/>
          <w:sz w:val="24"/>
          <w:szCs w:val="24"/>
          <w:lang w:val="en-ID"/>
        </w:rPr>
        <w:t>Center</w:t>
      </w:r>
      <w:proofErr w:type="spellEnd"/>
      <w:r w:rsidRPr="002B2ACB">
        <w:rPr>
          <w:rFonts w:asciiTheme="majorBidi" w:eastAsia="Calibri" w:hAnsiTheme="majorBidi" w:cstheme="majorBidi"/>
          <w:iCs/>
          <w:sz w:val="24"/>
          <w:szCs w:val="24"/>
          <w:lang w:val="en-ID"/>
        </w:rPr>
        <w:t xml:space="preserve">, published by the Head of the Central Jakarta Land Office. In this state administrative dispute, </w:t>
      </w:r>
      <w:proofErr w:type="spellStart"/>
      <w:r w:rsidRPr="002B2ACB">
        <w:rPr>
          <w:rFonts w:asciiTheme="majorBidi" w:eastAsia="Calibri" w:hAnsiTheme="majorBidi" w:cstheme="majorBidi"/>
          <w:iCs/>
          <w:sz w:val="24"/>
          <w:szCs w:val="24"/>
          <w:lang w:val="en-ID"/>
        </w:rPr>
        <w:t>Hj</w:t>
      </w:r>
      <w:proofErr w:type="spellEnd"/>
      <w:r w:rsidRPr="002B2ACB">
        <w:rPr>
          <w:rFonts w:asciiTheme="majorBidi" w:eastAsia="Calibri" w:hAnsiTheme="majorBidi" w:cstheme="majorBidi"/>
          <w:iCs/>
          <w:sz w:val="24"/>
          <w:szCs w:val="24"/>
          <w:lang w:val="en-ID"/>
        </w:rPr>
        <w:t xml:space="preserve">. Siti </w:t>
      </w:r>
      <w:proofErr w:type="spellStart"/>
      <w:r w:rsidRPr="002B2ACB">
        <w:rPr>
          <w:rFonts w:asciiTheme="majorBidi" w:eastAsia="Calibri" w:hAnsiTheme="majorBidi" w:cstheme="majorBidi"/>
          <w:iCs/>
          <w:sz w:val="24"/>
          <w:szCs w:val="24"/>
          <w:lang w:val="en-ID"/>
        </w:rPr>
        <w:t>Solehah</w:t>
      </w:r>
      <w:proofErr w:type="spellEnd"/>
      <w:r w:rsidRPr="002B2ACB">
        <w:rPr>
          <w:rFonts w:asciiTheme="majorBidi" w:eastAsia="Calibri" w:hAnsiTheme="majorBidi" w:cstheme="majorBidi"/>
          <w:iCs/>
          <w:sz w:val="24"/>
          <w:szCs w:val="24"/>
          <w:lang w:val="en-ID"/>
        </w:rPr>
        <w:t xml:space="preserve"> acted as the plaintiff, while the defendant was the </w:t>
      </w:r>
      <w:proofErr w:type="spellStart"/>
      <w:r w:rsidRPr="002B2ACB">
        <w:rPr>
          <w:rFonts w:asciiTheme="majorBidi" w:eastAsia="Calibri" w:hAnsiTheme="majorBidi" w:cstheme="majorBidi"/>
          <w:iCs/>
          <w:sz w:val="24"/>
          <w:szCs w:val="24"/>
          <w:lang w:val="en-ID"/>
        </w:rPr>
        <w:t>Kemayoran</w:t>
      </w:r>
      <w:proofErr w:type="spellEnd"/>
      <w:r w:rsidRPr="002B2ACB">
        <w:rPr>
          <w:rFonts w:asciiTheme="majorBidi" w:eastAsia="Calibri" w:hAnsiTheme="majorBidi" w:cstheme="majorBidi"/>
          <w:iCs/>
          <w:sz w:val="24"/>
          <w:szCs w:val="24"/>
          <w:lang w:val="en-ID"/>
        </w:rPr>
        <w:t xml:space="preserve"> Complex Management </w:t>
      </w:r>
      <w:proofErr w:type="spellStart"/>
      <w:r w:rsidRPr="002B2ACB">
        <w:rPr>
          <w:rFonts w:asciiTheme="majorBidi" w:eastAsia="Calibri" w:hAnsiTheme="majorBidi" w:cstheme="majorBidi"/>
          <w:iCs/>
          <w:sz w:val="24"/>
          <w:szCs w:val="24"/>
          <w:lang w:val="en-ID"/>
        </w:rPr>
        <w:t>Center</w:t>
      </w:r>
      <w:proofErr w:type="spellEnd"/>
      <w:r w:rsidRPr="002B2ACB">
        <w:rPr>
          <w:rFonts w:asciiTheme="majorBidi" w:eastAsia="Calibri" w:hAnsiTheme="majorBidi" w:cstheme="majorBidi"/>
          <w:iCs/>
          <w:sz w:val="24"/>
          <w:szCs w:val="24"/>
          <w:lang w:val="en-ID"/>
        </w:rPr>
        <w:t>.</w:t>
      </w:r>
    </w:p>
    <w:p w14:paraId="0E14B0C2" w14:textId="77777777" w:rsidR="00CD01D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This case began when the </w:t>
      </w:r>
      <w:proofErr w:type="spellStart"/>
      <w:r w:rsidRPr="002B2ACB">
        <w:rPr>
          <w:rFonts w:asciiTheme="majorBidi" w:eastAsia="Calibri" w:hAnsiTheme="majorBidi" w:cstheme="majorBidi"/>
          <w:iCs/>
          <w:sz w:val="24"/>
          <w:szCs w:val="24"/>
          <w:lang w:val="en-ID"/>
        </w:rPr>
        <w:t>Kemayoran</w:t>
      </w:r>
      <w:proofErr w:type="spellEnd"/>
      <w:r w:rsidRPr="002B2ACB">
        <w:rPr>
          <w:rFonts w:asciiTheme="majorBidi" w:eastAsia="Calibri" w:hAnsiTheme="majorBidi" w:cstheme="majorBidi"/>
          <w:iCs/>
          <w:sz w:val="24"/>
          <w:szCs w:val="24"/>
          <w:lang w:val="en-ID"/>
        </w:rPr>
        <w:t xml:space="preserve"> Complex Management </w:t>
      </w:r>
      <w:proofErr w:type="spellStart"/>
      <w:r w:rsidRPr="002B2ACB">
        <w:rPr>
          <w:rFonts w:asciiTheme="majorBidi" w:eastAsia="Calibri" w:hAnsiTheme="majorBidi" w:cstheme="majorBidi"/>
          <w:iCs/>
          <w:sz w:val="24"/>
          <w:szCs w:val="24"/>
          <w:lang w:val="en-ID"/>
        </w:rPr>
        <w:t>Center</w:t>
      </w:r>
      <w:proofErr w:type="spellEnd"/>
      <w:r w:rsidRPr="002B2ACB">
        <w:rPr>
          <w:rFonts w:asciiTheme="majorBidi" w:eastAsia="Calibri" w:hAnsiTheme="majorBidi" w:cstheme="majorBidi"/>
          <w:iCs/>
          <w:sz w:val="24"/>
          <w:szCs w:val="24"/>
          <w:lang w:val="en-ID"/>
        </w:rPr>
        <w:t xml:space="preserve"> lost in the first-instance court in a land dispute with </w:t>
      </w:r>
      <w:proofErr w:type="spellStart"/>
      <w:r w:rsidRPr="002B2ACB">
        <w:rPr>
          <w:rFonts w:asciiTheme="majorBidi" w:eastAsia="Calibri" w:hAnsiTheme="majorBidi" w:cstheme="majorBidi"/>
          <w:iCs/>
          <w:sz w:val="24"/>
          <w:szCs w:val="24"/>
          <w:lang w:val="en-ID"/>
        </w:rPr>
        <w:t>Hj</w:t>
      </w:r>
      <w:proofErr w:type="spellEnd"/>
      <w:r w:rsidRPr="002B2ACB">
        <w:rPr>
          <w:rFonts w:asciiTheme="majorBidi" w:eastAsia="Calibri" w:hAnsiTheme="majorBidi" w:cstheme="majorBidi"/>
          <w:iCs/>
          <w:sz w:val="24"/>
          <w:szCs w:val="24"/>
          <w:lang w:val="en-ID"/>
        </w:rPr>
        <w:t xml:space="preserve">. Siti </w:t>
      </w:r>
      <w:proofErr w:type="spellStart"/>
      <w:r w:rsidRPr="002B2ACB">
        <w:rPr>
          <w:rFonts w:asciiTheme="majorBidi" w:eastAsia="Calibri" w:hAnsiTheme="majorBidi" w:cstheme="majorBidi"/>
          <w:iCs/>
          <w:sz w:val="24"/>
          <w:szCs w:val="24"/>
          <w:lang w:val="en-ID"/>
        </w:rPr>
        <w:t>Solehah</w:t>
      </w:r>
      <w:proofErr w:type="spellEnd"/>
      <w:r w:rsidRPr="002B2ACB">
        <w:rPr>
          <w:rFonts w:asciiTheme="majorBidi" w:eastAsia="Calibri" w:hAnsiTheme="majorBidi" w:cstheme="majorBidi"/>
          <w:iCs/>
          <w:sz w:val="24"/>
          <w:szCs w:val="24"/>
          <w:lang w:val="en-ID"/>
        </w:rPr>
        <w:t xml:space="preserve">. The defeat continued to the appellate level, where the </w:t>
      </w:r>
      <w:proofErr w:type="spellStart"/>
      <w:r w:rsidRPr="002B2ACB">
        <w:rPr>
          <w:rFonts w:asciiTheme="majorBidi" w:eastAsia="Calibri" w:hAnsiTheme="majorBidi" w:cstheme="majorBidi"/>
          <w:iCs/>
          <w:sz w:val="24"/>
          <w:szCs w:val="24"/>
          <w:lang w:val="en-ID"/>
        </w:rPr>
        <w:t>Kemayoran</w:t>
      </w:r>
      <w:proofErr w:type="spellEnd"/>
      <w:r w:rsidRPr="002B2ACB">
        <w:rPr>
          <w:rFonts w:asciiTheme="majorBidi" w:eastAsia="Calibri" w:hAnsiTheme="majorBidi" w:cstheme="majorBidi"/>
          <w:iCs/>
          <w:sz w:val="24"/>
          <w:szCs w:val="24"/>
          <w:lang w:val="en-ID"/>
        </w:rPr>
        <w:t xml:space="preserve"> Complex Management </w:t>
      </w:r>
      <w:proofErr w:type="spellStart"/>
      <w:r w:rsidRPr="002B2ACB">
        <w:rPr>
          <w:rFonts w:asciiTheme="majorBidi" w:eastAsia="Calibri" w:hAnsiTheme="majorBidi" w:cstheme="majorBidi"/>
          <w:iCs/>
          <w:sz w:val="24"/>
          <w:szCs w:val="24"/>
          <w:lang w:val="en-ID"/>
        </w:rPr>
        <w:t>Center</w:t>
      </w:r>
      <w:proofErr w:type="spellEnd"/>
      <w:r w:rsidRPr="002B2ACB">
        <w:rPr>
          <w:rFonts w:asciiTheme="majorBidi" w:eastAsia="Calibri" w:hAnsiTheme="majorBidi" w:cstheme="majorBidi"/>
          <w:iCs/>
          <w:sz w:val="24"/>
          <w:szCs w:val="24"/>
          <w:lang w:val="en-ID"/>
        </w:rPr>
        <w:t xml:space="preserve"> lost again. The dispute relates to the land status based on Presidential Decree No. 32 of 1979, which stated that the conversion </w:t>
      </w:r>
      <w:r w:rsidRPr="002B2ACB">
        <w:rPr>
          <w:rFonts w:asciiTheme="majorBidi" w:eastAsia="Calibri" w:hAnsiTheme="majorBidi" w:cstheme="majorBidi"/>
          <w:iCs/>
          <w:sz w:val="24"/>
          <w:szCs w:val="24"/>
          <w:lang w:val="en-ID"/>
        </w:rPr>
        <w:lastRenderedPageBreak/>
        <w:t>of western rights, including property rights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ended on September 24, 1980. After the 20-year deadline since the enactment of the conversion provisions stipulated in the Basic Agrarian Law (UUPA), land that was not converted automatically became state land. In this case, the plaintiff (</w:t>
      </w:r>
      <w:proofErr w:type="spellStart"/>
      <w:r w:rsidRPr="002B2ACB">
        <w:rPr>
          <w:rFonts w:asciiTheme="majorBidi" w:eastAsia="Calibri" w:hAnsiTheme="majorBidi" w:cstheme="majorBidi"/>
          <w:iCs/>
          <w:sz w:val="24"/>
          <w:szCs w:val="24"/>
          <w:lang w:val="en-ID"/>
        </w:rPr>
        <w:t>Hj</w:t>
      </w:r>
      <w:proofErr w:type="spellEnd"/>
      <w:r w:rsidRPr="002B2ACB">
        <w:rPr>
          <w:rFonts w:asciiTheme="majorBidi" w:eastAsia="Calibri" w:hAnsiTheme="majorBidi" w:cstheme="majorBidi"/>
          <w:iCs/>
          <w:sz w:val="24"/>
          <w:szCs w:val="24"/>
          <w:lang w:val="en-ID"/>
        </w:rPr>
        <w:t xml:space="preserve">. Siti </w:t>
      </w:r>
      <w:proofErr w:type="spellStart"/>
      <w:r w:rsidRPr="002B2ACB">
        <w:rPr>
          <w:rFonts w:asciiTheme="majorBidi" w:eastAsia="Calibri" w:hAnsiTheme="majorBidi" w:cstheme="majorBidi"/>
          <w:iCs/>
          <w:sz w:val="24"/>
          <w:szCs w:val="24"/>
          <w:lang w:val="en-ID"/>
        </w:rPr>
        <w:t>Solehah</w:t>
      </w:r>
      <w:proofErr w:type="spellEnd"/>
      <w:r w:rsidRPr="002B2ACB">
        <w:rPr>
          <w:rFonts w:asciiTheme="majorBidi" w:eastAsia="Calibri" w:hAnsiTheme="majorBidi" w:cstheme="majorBidi"/>
          <w:iCs/>
          <w:sz w:val="24"/>
          <w:szCs w:val="24"/>
          <w:lang w:val="en-ID"/>
        </w:rPr>
        <w:t xml:space="preserve">) was considered to have abandoned the disputed land because she never registered her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rights.</w:t>
      </w:r>
    </w:p>
    <w:p w14:paraId="7BAC73DB" w14:textId="77777777" w:rsidR="00CD01D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The </w:t>
      </w:r>
      <w:proofErr w:type="spellStart"/>
      <w:r w:rsidRPr="002B2ACB">
        <w:rPr>
          <w:rFonts w:asciiTheme="majorBidi" w:eastAsia="Calibri" w:hAnsiTheme="majorBidi" w:cstheme="majorBidi"/>
          <w:iCs/>
          <w:sz w:val="24"/>
          <w:szCs w:val="24"/>
          <w:lang w:val="en-ID"/>
        </w:rPr>
        <w:t>Kemayoran</w:t>
      </w:r>
      <w:proofErr w:type="spellEnd"/>
      <w:r w:rsidRPr="002B2ACB">
        <w:rPr>
          <w:rFonts w:asciiTheme="majorBidi" w:eastAsia="Calibri" w:hAnsiTheme="majorBidi" w:cstheme="majorBidi"/>
          <w:iCs/>
          <w:sz w:val="24"/>
          <w:szCs w:val="24"/>
          <w:lang w:val="en-ID"/>
        </w:rPr>
        <w:t xml:space="preserve"> Complex Management </w:t>
      </w:r>
      <w:proofErr w:type="spellStart"/>
      <w:r w:rsidRPr="002B2ACB">
        <w:rPr>
          <w:rFonts w:asciiTheme="majorBidi" w:eastAsia="Calibri" w:hAnsiTheme="majorBidi" w:cstheme="majorBidi"/>
          <w:iCs/>
          <w:sz w:val="24"/>
          <w:szCs w:val="24"/>
          <w:lang w:val="en-ID"/>
        </w:rPr>
        <w:t>Center</w:t>
      </w:r>
      <w:proofErr w:type="spellEnd"/>
      <w:r w:rsidRPr="002B2ACB">
        <w:rPr>
          <w:rFonts w:asciiTheme="majorBidi" w:eastAsia="Calibri" w:hAnsiTheme="majorBidi" w:cstheme="majorBidi"/>
          <w:iCs/>
          <w:sz w:val="24"/>
          <w:szCs w:val="24"/>
          <w:lang w:val="en-ID"/>
        </w:rPr>
        <w:t xml:space="preserve"> then filed for cassation to the Supreme Court. The Supreme Court, in its ruling, stated that the Decree of the Minister of Home Affairs No. 24/HPL/DA/87 dated May 27, 1987, which granted Management Rights to the </w:t>
      </w:r>
      <w:proofErr w:type="spellStart"/>
      <w:r w:rsidRPr="002B2ACB">
        <w:rPr>
          <w:rFonts w:asciiTheme="majorBidi" w:eastAsia="Calibri" w:hAnsiTheme="majorBidi" w:cstheme="majorBidi"/>
          <w:iCs/>
          <w:sz w:val="24"/>
          <w:szCs w:val="24"/>
          <w:lang w:val="en-ID"/>
        </w:rPr>
        <w:t>Kemayoran</w:t>
      </w:r>
      <w:proofErr w:type="spellEnd"/>
      <w:r w:rsidRPr="002B2ACB">
        <w:rPr>
          <w:rFonts w:asciiTheme="majorBidi" w:eastAsia="Calibri" w:hAnsiTheme="majorBidi" w:cstheme="majorBidi"/>
          <w:iCs/>
          <w:sz w:val="24"/>
          <w:szCs w:val="24"/>
          <w:lang w:val="en-ID"/>
        </w:rPr>
        <w:t xml:space="preserve"> Complex Management </w:t>
      </w:r>
      <w:proofErr w:type="spellStart"/>
      <w:r w:rsidRPr="002B2ACB">
        <w:rPr>
          <w:rFonts w:asciiTheme="majorBidi" w:eastAsia="Calibri" w:hAnsiTheme="majorBidi" w:cstheme="majorBidi"/>
          <w:iCs/>
          <w:sz w:val="24"/>
          <w:szCs w:val="24"/>
          <w:lang w:val="en-ID"/>
        </w:rPr>
        <w:t>Center</w:t>
      </w:r>
      <w:proofErr w:type="spellEnd"/>
      <w:r w:rsidRPr="002B2ACB">
        <w:rPr>
          <w:rFonts w:asciiTheme="majorBidi" w:eastAsia="Calibri" w:hAnsiTheme="majorBidi" w:cstheme="majorBidi"/>
          <w:iCs/>
          <w:sz w:val="24"/>
          <w:szCs w:val="24"/>
          <w:lang w:val="en-ID"/>
        </w:rPr>
        <w:t>, had been tested in the Administrative Court and was legally binding. The Supreme Court also suggested that the disputing parties file a civil lawsuit in the General Court if they wished to assert their land rights.</w:t>
      </w:r>
    </w:p>
    <w:p w14:paraId="168097B3" w14:textId="77777777" w:rsidR="00CD01D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During the trial process, the panel of judges attempted to mediate both parties in accordance with the Supreme Court Regulation (PERMA) No. 1 of 2008 on mediation. However, this mediation effort failed, and the trial continued. After the trial process and the reading of the lawsuit by </w:t>
      </w:r>
      <w:proofErr w:type="spellStart"/>
      <w:r w:rsidRPr="002B2ACB">
        <w:rPr>
          <w:rFonts w:asciiTheme="majorBidi" w:eastAsia="Calibri" w:hAnsiTheme="majorBidi" w:cstheme="majorBidi"/>
          <w:iCs/>
          <w:sz w:val="24"/>
          <w:szCs w:val="24"/>
          <w:lang w:val="en-ID"/>
        </w:rPr>
        <w:t>Hj</w:t>
      </w:r>
      <w:proofErr w:type="spellEnd"/>
      <w:r w:rsidRPr="002B2ACB">
        <w:rPr>
          <w:rFonts w:asciiTheme="majorBidi" w:eastAsia="Calibri" w:hAnsiTheme="majorBidi" w:cstheme="majorBidi"/>
          <w:iCs/>
          <w:sz w:val="24"/>
          <w:szCs w:val="24"/>
          <w:lang w:val="en-ID"/>
        </w:rPr>
        <w:t xml:space="preserve">. Siti </w:t>
      </w:r>
      <w:proofErr w:type="spellStart"/>
      <w:r w:rsidRPr="002B2ACB">
        <w:rPr>
          <w:rFonts w:asciiTheme="majorBidi" w:eastAsia="Calibri" w:hAnsiTheme="majorBidi" w:cstheme="majorBidi"/>
          <w:iCs/>
          <w:sz w:val="24"/>
          <w:szCs w:val="24"/>
          <w:lang w:val="en-ID"/>
        </w:rPr>
        <w:t>Solehah</w:t>
      </w:r>
      <w:proofErr w:type="spellEnd"/>
      <w:r w:rsidRPr="002B2ACB">
        <w:rPr>
          <w:rFonts w:asciiTheme="majorBidi" w:eastAsia="Calibri" w:hAnsiTheme="majorBidi" w:cstheme="majorBidi"/>
          <w:iCs/>
          <w:sz w:val="24"/>
          <w:szCs w:val="24"/>
          <w:lang w:val="en-ID"/>
        </w:rPr>
        <w:t xml:space="preserve">, the court ultimately ruled to reject the plaintiff's lawsuit in its entirety and </w:t>
      </w:r>
      <w:proofErr w:type="spellStart"/>
      <w:r w:rsidRPr="002B2ACB">
        <w:rPr>
          <w:rFonts w:asciiTheme="majorBidi" w:eastAsia="Calibri" w:hAnsiTheme="majorBidi" w:cstheme="majorBidi"/>
          <w:iCs/>
          <w:sz w:val="24"/>
          <w:szCs w:val="24"/>
          <w:lang w:val="en-ID"/>
        </w:rPr>
        <w:t>favored</w:t>
      </w:r>
      <w:proofErr w:type="spellEnd"/>
      <w:r w:rsidRPr="002B2ACB">
        <w:rPr>
          <w:rFonts w:asciiTheme="majorBidi" w:eastAsia="Calibri" w:hAnsiTheme="majorBidi" w:cstheme="majorBidi"/>
          <w:iCs/>
          <w:sz w:val="24"/>
          <w:szCs w:val="24"/>
          <w:lang w:val="en-ID"/>
        </w:rPr>
        <w:t xml:space="preserve"> the </w:t>
      </w:r>
      <w:proofErr w:type="spellStart"/>
      <w:r w:rsidRPr="002B2ACB">
        <w:rPr>
          <w:rFonts w:asciiTheme="majorBidi" w:eastAsia="Calibri" w:hAnsiTheme="majorBidi" w:cstheme="majorBidi"/>
          <w:iCs/>
          <w:sz w:val="24"/>
          <w:szCs w:val="24"/>
          <w:lang w:val="en-ID"/>
        </w:rPr>
        <w:t>Kemayoran</w:t>
      </w:r>
      <w:proofErr w:type="spellEnd"/>
      <w:r w:rsidRPr="002B2ACB">
        <w:rPr>
          <w:rFonts w:asciiTheme="majorBidi" w:eastAsia="Calibri" w:hAnsiTheme="majorBidi" w:cstheme="majorBidi"/>
          <w:iCs/>
          <w:sz w:val="24"/>
          <w:szCs w:val="24"/>
          <w:lang w:val="en-ID"/>
        </w:rPr>
        <w:t xml:space="preserve"> Complex Management </w:t>
      </w:r>
      <w:proofErr w:type="spellStart"/>
      <w:r w:rsidRPr="002B2ACB">
        <w:rPr>
          <w:rFonts w:asciiTheme="majorBidi" w:eastAsia="Calibri" w:hAnsiTheme="majorBidi" w:cstheme="majorBidi"/>
          <w:iCs/>
          <w:sz w:val="24"/>
          <w:szCs w:val="24"/>
          <w:lang w:val="en-ID"/>
        </w:rPr>
        <w:t>Center</w:t>
      </w:r>
      <w:proofErr w:type="spellEnd"/>
      <w:r w:rsidRPr="002B2ACB">
        <w:rPr>
          <w:rFonts w:asciiTheme="majorBidi" w:eastAsia="Calibri" w:hAnsiTheme="majorBidi" w:cstheme="majorBidi"/>
          <w:iCs/>
          <w:sz w:val="24"/>
          <w:szCs w:val="24"/>
          <w:lang w:val="en-ID"/>
        </w:rPr>
        <w:t xml:space="preserve">. In the appellate phase filed by </w:t>
      </w:r>
      <w:proofErr w:type="spellStart"/>
      <w:r w:rsidRPr="002B2ACB">
        <w:rPr>
          <w:rFonts w:asciiTheme="majorBidi" w:eastAsia="Calibri" w:hAnsiTheme="majorBidi" w:cstheme="majorBidi"/>
          <w:iCs/>
          <w:sz w:val="24"/>
          <w:szCs w:val="24"/>
          <w:lang w:val="en-ID"/>
        </w:rPr>
        <w:t>Hj</w:t>
      </w:r>
      <w:proofErr w:type="spellEnd"/>
      <w:r w:rsidRPr="002B2ACB">
        <w:rPr>
          <w:rFonts w:asciiTheme="majorBidi" w:eastAsia="Calibri" w:hAnsiTheme="majorBidi" w:cstheme="majorBidi"/>
          <w:iCs/>
          <w:sz w:val="24"/>
          <w:szCs w:val="24"/>
          <w:lang w:val="en-ID"/>
        </w:rPr>
        <w:t xml:space="preserve">. Siti </w:t>
      </w:r>
      <w:proofErr w:type="spellStart"/>
      <w:r w:rsidRPr="002B2ACB">
        <w:rPr>
          <w:rFonts w:asciiTheme="majorBidi" w:eastAsia="Calibri" w:hAnsiTheme="majorBidi" w:cstheme="majorBidi"/>
          <w:iCs/>
          <w:sz w:val="24"/>
          <w:szCs w:val="24"/>
          <w:lang w:val="en-ID"/>
        </w:rPr>
        <w:t>Solehah</w:t>
      </w:r>
      <w:proofErr w:type="spellEnd"/>
      <w:r w:rsidRPr="002B2ACB">
        <w:rPr>
          <w:rFonts w:asciiTheme="majorBidi" w:eastAsia="Calibri" w:hAnsiTheme="majorBidi" w:cstheme="majorBidi"/>
          <w:iCs/>
          <w:sz w:val="24"/>
          <w:szCs w:val="24"/>
          <w:lang w:val="en-ID"/>
        </w:rPr>
        <w:t xml:space="preserve">, the judges again rejected her appeal memorandum on the grounds that the arguments presented were merely a repetition of the previous case and were not strong enough to overturn the </w:t>
      </w:r>
      <w:proofErr w:type="gramStart"/>
      <w:r w:rsidRPr="002B2ACB">
        <w:rPr>
          <w:rFonts w:asciiTheme="majorBidi" w:eastAsia="Calibri" w:hAnsiTheme="majorBidi" w:cstheme="majorBidi"/>
          <w:iCs/>
          <w:sz w:val="24"/>
          <w:szCs w:val="24"/>
          <w:lang w:val="en-ID"/>
        </w:rPr>
        <w:t>first-instance</w:t>
      </w:r>
      <w:proofErr w:type="gramEnd"/>
      <w:r w:rsidRPr="002B2ACB">
        <w:rPr>
          <w:rFonts w:asciiTheme="majorBidi" w:eastAsia="Calibri" w:hAnsiTheme="majorBidi" w:cstheme="majorBidi"/>
          <w:iCs/>
          <w:sz w:val="24"/>
          <w:szCs w:val="24"/>
          <w:lang w:val="en-ID"/>
        </w:rPr>
        <w:t xml:space="preserve"> ruling. The High Court upheld the Decision of Central Jakarta District Court Number 438/PDT.G/2013/</w:t>
      </w:r>
      <w:proofErr w:type="spellStart"/>
      <w:proofErr w:type="gramStart"/>
      <w:r w:rsidRPr="002B2ACB">
        <w:rPr>
          <w:rFonts w:asciiTheme="majorBidi" w:eastAsia="Calibri" w:hAnsiTheme="majorBidi" w:cstheme="majorBidi"/>
          <w:iCs/>
          <w:sz w:val="24"/>
          <w:szCs w:val="24"/>
          <w:lang w:val="en-ID"/>
        </w:rPr>
        <w:t>PN.Jkt.Pst</w:t>
      </w:r>
      <w:proofErr w:type="spellEnd"/>
      <w:proofErr w:type="gramEnd"/>
      <w:r w:rsidRPr="002B2ACB">
        <w:rPr>
          <w:rFonts w:asciiTheme="majorBidi" w:eastAsia="Calibri" w:hAnsiTheme="majorBidi" w:cstheme="majorBidi"/>
          <w:iCs/>
          <w:sz w:val="24"/>
          <w:szCs w:val="24"/>
          <w:lang w:val="en-ID"/>
        </w:rPr>
        <w:t xml:space="preserve"> dated December 9, 2014. The judges' considerations in deciding this case were </w:t>
      </w:r>
      <w:proofErr w:type="gramStart"/>
      <w:r w:rsidRPr="002B2ACB">
        <w:rPr>
          <w:rFonts w:asciiTheme="majorBidi" w:eastAsia="Calibri" w:hAnsiTheme="majorBidi" w:cstheme="majorBidi"/>
          <w:iCs/>
          <w:sz w:val="24"/>
          <w:szCs w:val="24"/>
          <w:lang w:val="en-ID"/>
        </w:rPr>
        <w:t>based on the fact that</w:t>
      </w:r>
      <w:proofErr w:type="gramEnd"/>
      <w:r w:rsidRPr="002B2ACB">
        <w:rPr>
          <w:rFonts w:asciiTheme="majorBidi" w:eastAsia="Calibri" w:hAnsiTheme="majorBidi" w:cstheme="majorBidi"/>
          <w:iCs/>
          <w:sz w:val="24"/>
          <w:szCs w:val="24"/>
          <w:lang w:val="en-ID"/>
        </w:rPr>
        <w:t xml:space="preserve"> the plaintiff, </w:t>
      </w:r>
      <w:proofErr w:type="spellStart"/>
      <w:r w:rsidRPr="002B2ACB">
        <w:rPr>
          <w:rFonts w:asciiTheme="majorBidi" w:eastAsia="Calibri" w:hAnsiTheme="majorBidi" w:cstheme="majorBidi"/>
          <w:iCs/>
          <w:sz w:val="24"/>
          <w:szCs w:val="24"/>
          <w:lang w:val="en-ID"/>
        </w:rPr>
        <w:t>Hj</w:t>
      </w:r>
      <w:proofErr w:type="spellEnd"/>
      <w:r w:rsidRPr="002B2ACB">
        <w:rPr>
          <w:rFonts w:asciiTheme="majorBidi" w:eastAsia="Calibri" w:hAnsiTheme="majorBidi" w:cstheme="majorBidi"/>
          <w:iCs/>
          <w:sz w:val="24"/>
          <w:szCs w:val="24"/>
          <w:lang w:val="en-ID"/>
        </w:rPr>
        <w:t xml:space="preserve">. Siti </w:t>
      </w:r>
      <w:proofErr w:type="spellStart"/>
      <w:r w:rsidRPr="002B2ACB">
        <w:rPr>
          <w:rFonts w:asciiTheme="majorBidi" w:eastAsia="Calibri" w:hAnsiTheme="majorBidi" w:cstheme="majorBidi"/>
          <w:iCs/>
          <w:sz w:val="24"/>
          <w:szCs w:val="24"/>
          <w:lang w:val="en-ID"/>
        </w:rPr>
        <w:t>Solehah</w:t>
      </w:r>
      <w:proofErr w:type="spellEnd"/>
      <w:r w:rsidRPr="002B2ACB">
        <w:rPr>
          <w:rFonts w:asciiTheme="majorBidi" w:eastAsia="Calibri" w:hAnsiTheme="majorBidi" w:cstheme="majorBidi"/>
          <w:iCs/>
          <w:sz w:val="24"/>
          <w:szCs w:val="24"/>
          <w:lang w:val="en-ID"/>
        </w:rPr>
        <w:t xml:space="preserve">, was one of the heirs of the late Moh. Saleh bin </w:t>
      </w:r>
      <w:proofErr w:type="spellStart"/>
      <w:r w:rsidRPr="002B2ACB">
        <w:rPr>
          <w:rFonts w:asciiTheme="majorBidi" w:eastAsia="Calibri" w:hAnsiTheme="majorBidi" w:cstheme="majorBidi"/>
          <w:iCs/>
          <w:sz w:val="24"/>
          <w:szCs w:val="24"/>
          <w:lang w:val="en-ID"/>
        </w:rPr>
        <w:t>Enjang</w:t>
      </w:r>
      <w:proofErr w:type="spellEnd"/>
      <w:r w:rsidRPr="002B2ACB">
        <w:rPr>
          <w:rFonts w:asciiTheme="majorBidi" w:eastAsia="Calibri" w:hAnsiTheme="majorBidi" w:cstheme="majorBidi"/>
          <w:iCs/>
          <w:sz w:val="24"/>
          <w:szCs w:val="24"/>
          <w:lang w:val="en-ID"/>
        </w:rPr>
        <w:t xml:space="preserve">, but ownership of the disputed land had ended because the western right she held had not been converted according to the provisions of the UUPA. The plaintiff also proved not to have registered her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rights, which caused the land to revert to state land in accordance with the applicable conversion provisions.</w:t>
      </w:r>
    </w:p>
    <w:p w14:paraId="2A96D5D9" w14:textId="77777777" w:rsidR="00CD01D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With the establishment of the UUPA, which adopts the principle of unification of agrarian law, the logical consequence is that there must be an adjustment or conversion of land rights regulations that were previously subject to western agrarian law and customary law. The main purpose of the UUPA is to create a unified national land law, hence neither western agrarian law nor customary law is recognized as part of the positive law in Indonesia. </w:t>
      </w:r>
      <w:proofErr w:type="gramStart"/>
      <w:r w:rsidRPr="002B2ACB">
        <w:rPr>
          <w:rFonts w:asciiTheme="majorBidi" w:eastAsia="Calibri" w:hAnsiTheme="majorBidi" w:cstheme="majorBidi"/>
          <w:iCs/>
          <w:sz w:val="24"/>
          <w:szCs w:val="24"/>
          <w:lang w:val="en-ID"/>
        </w:rPr>
        <w:t>As a consequence</w:t>
      </w:r>
      <w:proofErr w:type="gramEnd"/>
      <w:r w:rsidRPr="002B2ACB">
        <w:rPr>
          <w:rFonts w:asciiTheme="majorBidi" w:eastAsia="Calibri" w:hAnsiTheme="majorBidi" w:cstheme="majorBidi"/>
          <w:iCs/>
          <w:sz w:val="24"/>
          <w:szCs w:val="24"/>
          <w:lang w:val="en-ID"/>
        </w:rPr>
        <w:t xml:space="preserve">, the UUPA stipulates that only rights regulated by the UUPA are recognized over land. With the transition from the system of western agrarian law and customary law to the legal system regulated by the UUPA, existing land rights prior to the enactment of the UUPA must be converted or adjusted to the provisions set forth in the UUPA. According to A.P. </w:t>
      </w:r>
      <w:proofErr w:type="spellStart"/>
      <w:r w:rsidRPr="002B2ACB">
        <w:rPr>
          <w:rFonts w:asciiTheme="majorBidi" w:eastAsia="Calibri" w:hAnsiTheme="majorBidi" w:cstheme="majorBidi"/>
          <w:iCs/>
          <w:sz w:val="24"/>
          <w:szCs w:val="24"/>
          <w:lang w:val="en-ID"/>
        </w:rPr>
        <w:t>Parlindungan</w:t>
      </w:r>
      <w:proofErr w:type="spellEnd"/>
      <w:r w:rsidRPr="002B2ACB">
        <w:rPr>
          <w:rFonts w:asciiTheme="majorBidi" w:eastAsia="Calibri" w:hAnsiTheme="majorBidi" w:cstheme="majorBidi"/>
          <w:iCs/>
          <w:sz w:val="24"/>
          <w:szCs w:val="24"/>
          <w:lang w:val="en-ID"/>
        </w:rPr>
        <w:t>, this conversion means adjusting land rights that were previously governed by the old legal system, such as rights regulated by the Civil Code (BW) and customary law, so that they may fit into the system of land rights recognized by the UUPA. This conversion process also requires land registration conducted in accordance with UUPA provisions to obtain land certificates.</w:t>
      </w:r>
    </w:p>
    <w:p w14:paraId="1FE15E5F" w14:textId="77777777" w:rsidR="00CD01D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Conversion of land rights must be carried out within a maximum period of 20 years after the UUPA came into force, from September 24, 1960, to September 24, 1980. If conversion is not accomplished within that time frame, the rights to the land are considered extinguished and the land becomes state land or land controlled directly by the state. As a result, the legal </w:t>
      </w:r>
      <w:r w:rsidRPr="002B2ACB">
        <w:rPr>
          <w:rFonts w:asciiTheme="majorBidi" w:eastAsia="Calibri" w:hAnsiTheme="majorBidi" w:cstheme="majorBidi"/>
          <w:iCs/>
          <w:sz w:val="24"/>
          <w:szCs w:val="24"/>
          <w:lang w:val="en-ID"/>
        </w:rPr>
        <w:lastRenderedPageBreak/>
        <w:t xml:space="preserve">relationship between the landowner and the land becomes severed. It is important to emphasize that the conversion process regulated by the UUPA only concerns the change of land rights from one legal system to another, not the transfer of state control over </w:t>
      </w:r>
      <w:proofErr w:type="gramStart"/>
      <w:r w:rsidRPr="002B2ACB">
        <w:rPr>
          <w:rFonts w:asciiTheme="majorBidi" w:eastAsia="Calibri" w:hAnsiTheme="majorBidi" w:cstheme="majorBidi"/>
          <w:iCs/>
          <w:sz w:val="24"/>
          <w:szCs w:val="24"/>
          <w:lang w:val="en-ID"/>
        </w:rPr>
        <w:t>land to land</w:t>
      </w:r>
      <w:proofErr w:type="gramEnd"/>
      <w:r w:rsidRPr="002B2ACB">
        <w:rPr>
          <w:rFonts w:asciiTheme="majorBidi" w:eastAsia="Calibri" w:hAnsiTheme="majorBidi" w:cstheme="majorBidi"/>
          <w:iCs/>
          <w:sz w:val="24"/>
          <w:szCs w:val="24"/>
          <w:lang w:val="en-ID"/>
        </w:rPr>
        <w:t xml:space="preserve"> rights. If the holders of old land rights have not converted by the 20-year deadline, they may still submit a conversion application with the condition of providing proof of nationality and proof of payment of land and building tax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However, if no rights application has been filed after September 24, 1980, the holder of the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rights will only be considered to physically occupy the land without any legal rights.</w:t>
      </w:r>
    </w:p>
    <w:p w14:paraId="611B9144" w14:textId="77777777" w:rsidR="00CD01D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Then, what about former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lands that have not been converted according to the applicable laws? According to Article 1 of Law Number 3 </w:t>
      </w:r>
      <w:proofErr w:type="spellStart"/>
      <w:r w:rsidRPr="002B2ACB">
        <w:rPr>
          <w:rFonts w:asciiTheme="majorBidi" w:eastAsia="Calibri" w:hAnsiTheme="majorBidi" w:cstheme="majorBidi"/>
          <w:iCs/>
          <w:sz w:val="24"/>
          <w:szCs w:val="24"/>
          <w:lang w:val="en-ID"/>
        </w:rPr>
        <w:t>Prp</w:t>
      </w:r>
      <w:proofErr w:type="spellEnd"/>
      <w:r w:rsidRPr="002B2ACB">
        <w:rPr>
          <w:rFonts w:asciiTheme="majorBidi" w:eastAsia="Calibri" w:hAnsiTheme="majorBidi" w:cstheme="majorBidi"/>
          <w:iCs/>
          <w:sz w:val="24"/>
          <w:szCs w:val="24"/>
          <w:lang w:val="en-ID"/>
        </w:rPr>
        <w:t xml:space="preserve"> of 1960 concerning the Control of Fixed Goods Owned by Dutch Citizens, it is explained that all fixed assets owned by Dutch citizens that are not covered by the provisions of Law Number 86 of 1958 concerning the Nationalization of Dutch Companies (State Gazette of 1958 Number 162), and whose owners have left the territory of the Republic of Indonesia since the enactment of this Government Regulation in Lieu of Law, are under the control of the Government of the Republic of Indonesia, represented by the Minister of Agrarian Affairs. State control over land is a mandate stated in Article 33 paragraph (3) of the 1945 Constitution of the Republic of Indonesia (UUD 1945), where the state is mandated to manage and utilize land based on the spirit of improving the welfare of the community.</w:t>
      </w:r>
    </w:p>
    <w:p w14:paraId="48DAA9CD" w14:textId="77777777" w:rsidR="00CD01D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rights refer to property rights regulated under the provisions of the Civil Code. Based on Article 570 of the Civil Code, this right gives the holder the authority to fully enjoy an object, whether in the form of land or buildings, </w:t>
      </w:r>
      <w:proofErr w:type="gramStart"/>
      <w:r w:rsidRPr="002B2ACB">
        <w:rPr>
          <w:rFonts w:asciiTheme="majorBidi" w:eastAsia="Calibri" w:hAnsiTheme="majorBidi" w:cstheme="majorBidi"/>
          <w:iCs/>
          <w:sz w:val="24"/>
          <w:szCs w:val="24"/>
          <w:lang w:val="en-ID"/>
        </w:rPr>
        <w:t>as long as</w:t>
      </w:r>
      <w:proofErr w:type="gramEnd"/>
      <w:r w:rsidRPr="002B2ACB">
        <w:rPr>
          <w:rFonts w:asciiTheme="majorBidi" w:eastAsia="Calibri" w:hAnsiTheme="majorBidi" w:cstheme="majorBidi"/>
          <w:iCs/>
          <w:sz w:val="24"/>
          <w:szCs w:val="24"/>
          <w:lang w:val="en-ID"/>
        </w:rPr>
        <w:t xml:space="preserve"> it does not conflict with legal provisions or disturb the rights of others. Meanwhile,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is a type of tax levied on fixed assets, including land and buildings, which is usually evidenced by an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letter or other proof of ownership. The term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refers to the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rights accompanied by the obligation to pay tax on the land, and in practice, this term is often considered equivalent to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However, in its application, the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right is no longer recognized as a legal basis for registering land rights in Indonesia. This is due to several factors. First, the land policy during the colonial era was not in line with the ideals of national unity. Article 51 IS/Article 62 RR paragraph 5 provides protection to large entrepreneurs who acquired land, which contradicts Article 33 paragraph (3) of the 1945 Constitution of the Republic of Indonesia, which emphasizes land control for the welfare of the people. Second, customary law became the foundation for the formation of the UUPA. The considerations in letter a of the UUPA state that the social order of Indonesian society, including its economic aspects, is still agrarian in nature, so customary law is recognized as the legal foundation of national agrarian law.</w:t>
      </w:r>
    </w:p>
    <w:p w14:paraId="7961656C" w14:textId="77777777" w:rsidR="00CD01D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proofErr w:type="spellStart"/>
      <w:r w:rsidRPr="002B2ACB">
        <w:rPr>
          <w:rFonts w:asciiTheme="majorBidi" w:eastAsia="Calibri" w:hAnsiTheme="majorBidi" w:cstheme="majorBidi"/>
          <w:iCs/>
          <w:sz w:val="24"/>
          <w:szCs w:val="24"/>
          <w:lang w:val="en-ID"/>
        </w:rPr>
        <w:t>Satjipto</w:t>
      </w:r>
      <w:proofErr w:type="spellEnd"/>
      <w:r w:rsidRPr="002B2ACB">
        <w:rPr>
          <w:rFonts w:asciiTheme="majorBidi" w:eastAsia="Calibri" w:hAnsiTheme="majorBidi" w:cstheme="majorBidi"/>
          <w:iCs/>
          <w:sz w:val="24"/>
          <w:szCs w:val="24"/>
          <w:lang w:val="en-ID"/>
        </w:rPr>
        <w:t xml:space="preserve"> Rahardjo defines legal certainty as the certainty regarding the existence of the law itself, which can only be achieved when a legal rule has been established. In the context of Law Number 5 of 1960 concerning Basic Agrarian Law (UUPA), which was promulgated to provide a legal basis for national agrarian law, legal certainty is reflected in various regulations contained therein, including concerning land with western rights governed by the provisions for converting land rights. This conversion of land rights aims to provide legal certainty to the right holders so that their land status is legally recognized based on national agrarian law. The </w:t>
      </w:r>
      <w:r w:rsidRPr="002B2ACB">
        <w:rPr>
          <w:rFonts w:asciiTheme="majorBidi" w:eastAsia="Calibri" w:hAnsiTheme="majorBidi" w:cstheme="majorBidi"/>
          <w:iCs/>
          <w:sz w:val="24"/>
          <w:szCs w:val="24"/>
          <w:lang w:val="en-ID"/>
        </w:rPr>
        <w:lastRenderedPageBreak/>
        <w:t>conversion process is carried out as a form of adjustment of land rights, with the aim of creating uniformity or unification in the agrarian legal system in Indonesia.</w:t>
      </w:r>
    </w:p>
    <w:p w14:paraId="7B57754C" w14:textId="77777777" w:rsidR="00CD01D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Research on land disputes involving former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first refers to a case in Tegal Regency with Decision Number 19/</w:t>
      </w:r>
      <w:proofErr w:type="spellStart"/>
      <w:r w:rsidRPr="002B2ACB">
        <w:rPr>
          <w:rFonts w:asciiTheme="majorBidi" w:eastAsia="Calibri" w:hAnsiTheme="majorBidi" w:cstheme="majorBidi"/>
          <w:iCs/>
          <w:sz w:val="24"/>
          <w:szCs w:val="24"/>
          <w:lang w:val="en-ID"/>
        </w:rPr>
        <w:t>Pdt.G</w:t>
      </w:r>
      <w:proofErr w:type="spellEnd"/>
      <w:r w:rsidRPr="002B2ACB">
        <w:rPr>
          <w:rFonts w:asciiTheme="majorBidi" w:eastAsia="Calibri" w:hAnsiTheme="majorBidi" w:cstheme="majorBidi"/>
          <w:iCs/>
          <w:sz w:val="24"/>
          <w:szCs w:val="24"/>
          <w:lang w:val="en-ID"/>
        </w:rPr>
        <w:t>/2019/</w:t>
      </w:r>
      <w:proofErr w:type="spellStart"/>
      <w:proofErr w:type="gramStart"/>
      <w:r w:rsidRPr="002B2ACB">
        <w:rPr>
          <w:rFonts w:asciiTheme="majorBidi" w:eastAsia="Calibri" w:hAnsiTheme="majorBidi" w:cstheme="majorBidi"/>
          <w:iCs/>
          <w:sz w:val="24"/>
          <w:szCs w:val="24"/>
          <w:lang w:val="en-ID"/>
        </w:rPr>
        <w:t>PN.Slw</w:t>
      </w:r>
      <w:proofErr w:type="spellEnd"/>
      <w:proofErr w:type="gramEnd"/>
      <w:r w:rsidRPr="002B2ACB">
        <w:rPr>
          <w:rFonts w:asciiTheme="majorBidi" w:eastAsia="Calibri" w:hAnsiTheme="majorBidi" w:cstheme="majorBidi"/>
          <w:iCs/>
          <w:sz w:val="24"/>
          <w:szCs w:val="24"/>
          <w:lang w:val="en-ID"/>
        </w:rPr>
        <w:t xml:space="preserve">. In this case, the plaintiff claims land ownership based on evidence of rights from former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Based on the Basic Agrarian Law (UUPA), the state recognizes ownership evidence over the land, as stipulated in Article 1 of the UUPA, which states that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rights can be converted into ownership rights. Article 22 of the UUPA also supports this by stating that one way to acquire ownership rights is through legal provisions. The UUPA also regulates that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rights can be converted into building use rights or usage rights. Recognition of this right is granted to individuals who can prove that they have Indonesian citizenship. In the case of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number 822, this right was not converted within the 20-year period, which should have been a step to affirm citizenship and adjust rights according to UUPA provisions.</w:t>
      </w:r>
    </w:p>
    <w:p w14:paraId="13D5FA28" w14:textId="77777777" w:rsidR="00CD01D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The Regulation of the Minister of Agrarian Affairs Number 2 of 1960 Article 4 stipulates that if the right holder does not report to the Head of the Land Office or cannot prove single Indonesian citizenship, then the land will become building use rights. In the context of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number 822 in the name of Tjoa </w:t>
      </w:r>
      <w:proofErr w:type="spellStart"/>
      <w:r w:rsidRPr="002B2ACB">
        <w:rPr>
          <w:rFonts w:asciiTheme="majorBidi" w:eastAsia="Calibri" w:hAnsiTheme="majorBidi" w:cstheme="majorBidi"/>
          <w:iCs/>
          <w:sz w:val="24"/>
          <w:szCs w:val="24"/>
          <w:lang w:val="en-ID"/>
        </w:rPr>
        <w:t>Tjeng</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Sioe</w:t>
      </w:r>
      <w:proofErr w:type="spellEnd"/>
      <w:r w:rsidRPr="002B2ACB">
        <w:rPr>
          <w:rFonts w:asciiTheme="majorBidi" w:eastAsia="Calibri" w:hAnsiTheme="majorBidi" w:cstheme="majorBidi"/>
          <w:iCs/>
          <w:sz w:val="24"/>
          <w:szCs w:val="24"/>
          <w:lang w:val="en-ID"/>
        </w:rPr>
        <w:t xml:space="preserve"> alias </w:t>
      </w:r>
      <w:proofErr w:type="spellStart"/>
      <w:r w:rsidRPr="002B2ACB">
        <w:rPr>
          <w:rFonts w:asciiTheme="majorBidi" w:eastAsia="Calibri" w:hAnsiTheme="majorBidi" w:cstheme="majorBidi"/>
          <w:iCs/>
          <w:sz w:val="24"/>
          <w:szCs w:val="24"/>
          <w:lang w:val="en-ID"/>
        </w:rPr>
        <w:t>Tjwa</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Tjang</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Sioe</w:t>
      </w:r>
      <w:proofErr w:type="spellEnd"/>
      <w:r w:rsidRPr="002B2ACB">
        <w:rPr>
          <w:rFonts w:asciiTheme="majorBidi" w:eastAsia="Calibri" w:hAnsiTheme="majorBidi" w:cstheme="majorBidi"/>
          <w:iCs/>
          <w:sz w:val="24"/>
          <w:szCs w:val="24"/>
          <w:lang w:val="en-ID"/>
        </w:rPr>
        <w:t xml:space="preserve">, of Chinese descent, there are two steps in the conversion process. First, the recognition of prior rights. The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number 822 held by an individual of Chinese descent must be adjusted to the UUPA provisions. Second, adjustment to the conversion provisions. Based on Article 54 of the UUPA, individuals with citizenship from the People's Republic of China (RRC) who have not been recognized as Indonesian Citizens when the UUPA was enacted will be subject to the conversion provisions under Article 1 paragraph (3) of the UUPA, which states that land rights will change into building use rights with a period of 20 years.</w:t>
      </w:r>
    </w:p>
    <w:p w14:paraId="336A7DE3" w14:textId="77777777" w:rsidR="00CD01D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Article 55 of the Basic Agrarian Law (UUPA) establishes that foreign rights under the conversion provisions will change into business use rights and building use rights within a 20-year period. These conversion regulations emphasize the importance of the principle of nationality as regulated in Article 9 of the UUPA, which states that only Indonesian citizens have the right to possess full legal relationships over land, water, and space. Furthermore, Article 2 paragraph (2) of the Regulation of the Minister of Agrarian Affairs Number 2 of 1960 requires foreign citizens to prove their Indonesian citizenship. Article 2 of the Regulation of the Minister of Agrarian Affairs Number 2 of 1960 concerning the implementation of the UUPA stipulates that land originating from the conversion of western rights must adjust to national legal provisions. Article 2 paragraph (1) of that regulation explains that the period for converting western rights ends on September 24, 1980. If conversion is not completed before that deadline, the land in question will become state land.</w:t>
      </w:r>
    </w:p>
    <w:p w14:paraId="3EDCF8CD" w14:textId="4A838AA3" w:rsidR="002B2ACB" w:rsidRPr="002B2ACB" w:rsidRDefault="002B2ACB" w:rsidP="00CD01DB">
      <w:pPr>
        <w:pStyle w:val="BodyText"/>
        <w:tabs>
          <w:tab w:val="left" w:pos="0"/>
        </w:tabs>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In this dispute, the plaintiff only submitted photocopies of ownership evidence in the form of </w:t>
      </w:r>
      <w:proofErr w:type="spellStart"/>
      <w:r w:rsidRPr="002B2ACB">
        <w:rPr>
          <w:rFonts w:asciiTheme="majorBidi" w:eastAsia="Calibri" w:hAnsiTheme="majorBidi" w:cstheme="majorBidi"/>
          <w:iCs/>
          <w:sz w:val="24"/>
          <w:szCs w:val="24"/>
          <w:lang w:val="en-ID"/>
        </w:rPr>
        <w:t>recht</w:t>
      </w:r>
      <w:proofErr w:type="spellEnd"/>
      <w:r w:rsidRPr="002B2ACB">
        <w:rPr>
          <w:rFonts w:asciiTheme="majorBidi" w:eastAsia="Calibri" w:hAnsiTheme="majorBidi" w:cstheme="majorBidi"/>
          <w:iCs/>
          <w:sz w:val="24"/>
          <w:szCs w:val="24"/>
          <w:lang w:val="en-ID"/>
        </w:rPr>
        <w:t xml:space="preserve"> van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This evidence indicates that the land had never been converted in accordance with UUPA provisions. As a result, the land previously owned based on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rights has become land controlled by the state, in accordance with the provisions of Article 1 of Regulation of the Minister of Home Affairs Number 3 of 1979, which states that land rights that are not converted by September 24, 1980, will transfer to state-</w:t>
      </w:r>
      <w:r w:rsidRPr="002B2ACB">
        <w:rPr>
          <w:rFonts w:asciiTheme="majorBidi" w:eastAsia="Calibri" w:hAnsiTheme="majorBidi" w:cstheme="majorBidi"/>
          <w:iCs/>
          <w:sz w:val="24"/>
          <w:szCs w:val="24"/>
          <w:lang w:val="en-ID"/>
        </w:rPr>
        <w:lastRenderedPageBreak/>
        <w:t xml:space="preserve">controlled land. Legal certainty related to former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land in the context of national agrarian regulations has two main meanings: [12]</w:t>
      </w:r>
    </w:p>
    <w:p w14:paraId="3E41A8AA" w14:textId="77777777" w:rsidR="002B2ACB" w:rsidRPr="002B2ACB" w:rsidRDefault="002B2ACB" w:rsidP="00CD01DB">
      <w:pPr>
        <w:pStyle w:val="BodyText"/>
        <w:numPr>
          <w:ilvl w:val="0"/>
          <w:numId w:val="52"/>
        </w:numPr>
        <w:tabs>
          <w:tab w:val="left" w:pos="5250"/>
        </w:tabs>
        <w:spacing w:line="276" w:lineRule="auto"/>
        <w:ind w:right="98"/>
        <w:rPr>
          <w:rFonts w:asciiTheme="majorBidi" w:eastAsia="Calibri" w:hAnsiTheme="majorBidi" w:cstheme="majorBidi"/>
          <w:iCs/>
          <w:sz w:val="24"/>
          <w:szCs w:val="24"/>
        </w:rPr>
      </w:pPr>
      <w:r w:rsidRPr="002B2ACB">
        <w:rPr>
          <w:rFonts w:asciiTheme="majorBidi" w:eastAsia="Calibri" w:hAnsiTheme="majorBidi" w:cstheme="majorBidi"/>
          <w:iCs/>
          <w:sz w:val="24"/>
          <w:szCs w:val="24"/>
        </w:rPr>
        <w:t xml:space="preserve">Protection of individuals </w:t>
      </w:r>
      <w:proofErr w:type="gramStart"/>
      <w:r w:rsidRPr="002B2ACB">
        <w:rPr>
          <w:rFonts w:asciiTheme="majorBidi" w:eastAsia="Calibri" w:hAnsiTheme="majorBidi" w:cstheme="majorBidi"/>
          <w:iCs/>
          <w:sz w:val="24"/>
          <w:szCs w:val="24"/>
        </w:rPr>
        <w:t>related</w:t>
      </w:r>
      <w:proofErr w:type="gramEnd"/>
      <w:r w:rsidRPr="002B2ACB">
        <w:rPr>
          <w:rFonts w:asciiTheme="majorBidi" w:eastAsia="Calibri" w:hAnsiTheme="majorBidi" w:cstheme="majorBidi"/>
          <w:iCs/>
          <w:sz w:val="24"/>
          <w:szCs w:val="24"/>
        </w:rPr>
        <w:t xml:space="preserve"> to legal certainty: This means protecting each individual to ensure that they clearly understand the actions that are permitted and those that are prohibited. This is regulated in Articles I paragraphs 1 to 5 of the conversion provisions of the UUPA, which state that since the enactment of the UUPA, rights to land that were previously subject to the old legal system have changed to rights that are valid in accordance with the UUPA.</w:t>
      </w:r>
    </w:p>
    <w:p w14:paraId="543DFCAD" w14:textId="77777777" w:rsidR="00CD01DB" w:rsidRDefault="002B2ACB" w:rsidP="00CD01DB">
      <w:pPr>
        <w:pStyle w:val="BodyText"/>
        <w:numPr>
          <w:ilvl w:val="0"/>
          <w:numId w:val="52"/>
        </w:numPr>
        <w:tabs>
          <w:tab w:val="left" w:pos="5250"/>
        </w:tabs>
        <w:spacing w:line="276" w:lineRule="auto"/>
        <w:ind w:right="98"/>
        <w:rPr>
          <w:rFonts w:asciiTheme="majorBidi" w:eastAsia="Calibri" w:hAnsiTheme="majorBidi" w:cstheme="majorBidi"/>
          <w:iCs/>
          <w:sz w:val="24"/>
          <w:szCs w:val="24"/>
        </w:rPr>
      </w:pPr>
      <w:r w:rsidRPr="002B2ACB">
        <w:rPr>
          <w:rFonts w:asciiTheme="majorBidi" w:eastAsia="Calibri" w:hAnsiTheme="majorBidi" w:cstheme="majorBidi"/>
          <w:iCs/>
          <w:sz w:val="24"/>
          <w:szCs w:val="24"/>
        </w:rPr>
        <w:t>Protection from arbitrary government actions: Individuals are also protected from arbitrary actions by the government. According to the general provisions of the Department of Home Affairs, in accordance with Law Number 5 of 1960, the Second Dictum of Articles I, III, and V states that land rights arising from the conversion of western rights will expire no later than September 24, 1980. After that date, the land automatically becomes land controlled directly by the state. Presidential Decree No. 32 was subsequently issued to regulate the legal consequences of this provision and to determine the legal status and use or allocation of the land.</w:t>
      </w:r>
    </w:p>
    <w:p w14:paraId="3E26F063" w14:textId="77777777" w:rsidR="00CD01DB" w:rsidRDefault="002B2ACB" w:rsidP="00CD01DB">
      <w:pPr>
        <w:pStyle w:val="BodyText"/>
        <w:tabs>
          <w:tab w:val="left" w:pos="5250"/>
        </w:tabs>
        <w:spacing w:line="276" w:lineRule="auto"/>
        <w:ind w:right="98" w:firstLine="567"/>
        <w:rPr>
          <w:rFonts w:asciiTheme="majorBidi" w:eastAsia="Calibri" w:hAnsiTheme="majorBidi" w:cstheme="majorBidi"/>
          <w:iCs/>
          <w:sz w:val="24"/>
          <w:szCs w:val="24"/>
        </w:rPr>
      </w:pPr>
      <w:r w:rsidRPr="002B2ACB">
        <w:rPr>
          <w:rFonts w:asciiTheme="majorBidi" w:eastAsia="Calibri" w:hAnsiTheme="majorBidi" w:cstheme="majorBidi"/>
          <w:iCs/>
          <w:sz w:val="24"/>
          <w:szCs w:val="24"/>
        </w:rPr>
        <w:t xml:space="preserve">Heirs holding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rights must register and convert their land </w:t>
      </w:r>
      <w:proofErr w:type="gramStart"/>
      <w:r w:rsidRPr="002B2ACB">
        <w:rPr>
          <w:rFonts w:asciiTheme="majorBidi" w:eastAsia="Calibri" w:hAnsiTheme="majorBidi" w:cstheme="majorBidi"/>
          <w:iCs/>
          <w:sz w:val="24"/>
          <w:szCs w:val="24"/>
        </w:rPr>
        <w:t>in order to</w:t>
      </w:r>
      <w:proofErr w:type="gramEnd"/>
      <w:r w:rsidRPr="002B2ACB">
        <w:rPr>
          <w:rFonts w:asciiTheme="majorBidi" w:eastAsia="Calibri" w:hAnsiTheme="majorBidi" w:cstheme="majorBidi"/>
          <w:iCs/>
          <w:sz w:val="24"/>
          <w:szCs w:val="24"/>
        </w:rPr>
        <w:t xml:space="preserve"> obtain legal protection regarding those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rights. The initial land registration is carried out through two methods: systematic registration and sporadic registration. Systematic registration is conducted at the initiative of the Land Agency with a continuous annual plan, and its implementation takes place in areas designated by the Minister of Agrarian Affairs/National Land Agency. Meanwhile, sporadic land registration is carried out based on requests from interested parties, namely individuals who have rights to the land in question. </w:t>
      </w:r>
    </w:p>
    <w:p w14:paraId="191B5283" w14:textId="77777777" w:rsidR="00CD01DB" w:rsidRDefault="002B2ACB" w:rsidP="00CD01DB">
      <w:pPr>
        <w:pStyle w:val="BodyText"/>
        <w:tabs>
          <w:tab w:val="left" w:pos="5250"/>
        </w:tabs>
        <w:spacing w:line="276" w:lineRule="auto"/>
        <w:ind w:right="98" w:firstLine="567"/>
        <w:rPr>
          <w:rFonts w:asciiTheme="majorBidi" w:eastAsia="Calibri" w:hAnsiTheme="majorBidi" w:cstheme="majorBidi"/>
          <w:iCs/>
          <w:sz w:val="24"/>
          <w:szCs w:val="24"/>
        </w:rPr>
      </w:pPr>
      <w:r w:rsidRPr="002B2ACB">
        <w:rPr>
          <w:rFonts w:asciiTheme="majorBidi" w:eastAsia="Calibri" w:hAnsiTheme="majorBidi" w:cstheme="majorBidi"/>
          <w:iCs/>
          <w:sz w:val="24"/>
          <w:szCs w:val="24"/>
        </w:rPr>
        <w:t xml:space="preserve">The registration of unregistered land is regulated by Government Regulation Number 24 of 1997 concerning Land Registration. Land with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status can still be converted into ownership rights. Before the enactment of PP 24/1997, the conversion process for land rights originating from western rights (including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could be done directly, provided that the applicant was still registered as the holder of the land rights in the old documents and had not transferred it to another party, along with the submission of a map or survey letter. In this case, registration could be completed by placing a stamp or seal on the document, along with writing the type of right and the number of the right being converted.</w:t>
      </w:r>
    </w:p>
    <w:p w14:paraId="2F6CB295" w14:textId="77777777" w:rsidR="00CD01DB" w:rsidRDefault="002B2ACB" w:rsidP="00CD01DB">
      <w:pPr>
        <w:pStyle w:val="BodyText"/>
        <w:tabs>
          <w:tab w:val="left" w:pos="5250"/>
        </w:tabs>
        <w:spacing w:line="276" w:lineRule="auto"/>
        <w:ind w:right="98" w:firstLine="567"/>
        <w:rPr>
          <w:rFonts w:asciiTheme="majorBidi" w:eastAsia="Calibri" w:hAnsiTheme="majorBidi" w:cstheme="majorBidi"/>
          <w:iCs/>
          <w:sz w:val="24"/>
          <w:szCs w:val="24"/>
        </w:rPr>
      </w:pPr>
      <w:r w:rsidRPr="002B2ACB">
        <w:rPr>
          <w:rFonts w:asciiTheme="majorBidi" w:eastAsia="Calibri" w:hAnsiTheme="majorBidi" w:cstheme="majorBidi"/>
          <w:iCs/>
          <w:sz w:val="24"/>
          <w:szCs w:val="24"/>
        </w:rPr>
        <w:t xml:space="preserve">Land registration, or </w:t>
      </w:r>
      <w:proofErr w:type="spellStart"/>
      <w:r w:rsidRPr="002B2ACB">
        <w:rPr>
          <w:rFonts w:asciiTheme="majorBidi" w:eastAsia="Calibri" w:hAnsiTheme="majorBidi" w:cstheme="majorBidi"/>
          <w:iCs/>
          <w:sz w:val="24"/>
          <w:szCs w:val="24"/>
        </w:rPr>
        <w:t>cadastre</w:t>
      </w:r>
      <w:proofErr w:type="spellEnd"/>
      <w:r w:rsidRPr="002B2ACB">
        <w:rPr>
          <w:rFonts w:asciiTheme="majorBidi" w:eastAsia="Calibri" w:hAnsiTheme="majorBidi" w:cstheme="majorBidi"/>
          <w:iCs/>
          <w:sz w:val="24"/>
          <w:szCs w:val="24"/>
        </w:rPr>
        <w:t xml:space="preserve">, consists of a series of activities carried out by the government in a continuous and orderly manner. These activities include collecting, managing, recording, presenting, and maintaining data physically and legally. This is performed for parcels of land, space above ground, subsoil space, and condominium units, including the provision of proof of ownership letters for land parcels, space above ground, subsoil space that already has rights, as well as ownership rights over units of condominiums and certain encumbering rights. Land registration accompanied by proof of ownership in the form of a certificate provides certainty regarding the status of land rights and helps reduce the potential for land disputes. Although land with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status that has not undergone conversion can still obtain proof of ownership, the procedure no longer follows the conversion process. As an alternative, landowners can apply for new rights at the National Land Agency (BPN) by including a certificate of ownership issued by the local sub-district or village head. Nonetheless, the state strives to provide legal certainty regarding land occupation. Land </w:t>
      </w:r>
      <w:r w:rsidRPr="002B2ACB">
        <w:rPr>
          <w:rFonts w:asciiTheme="majorBidi" w:eastAsia="Calibri" w:hAnsiTheme="majorBidi" w:cstheme="majorBidi"/>
          <w:iCs/>
          <w:sz w:val="24"/>
          <w:szCs w:val="24"/>
        </w:rPr>
        <w:lastRenderedPageBreak/>
        <w:t xml:space="preserve">controlled directly by the state can have rights applied for by interested members of the community. In this case, individuals who desire access to state-controlled land can submit a rights application. The process of obtaining state land that previously held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rights prioritizes former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right holders. Priority in the granting of rights is given to former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right holders to obtain land that was previously held under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rights, </w:t>
      </w:r>
      <w:proofErr w:type="gramStart"/>
      <w:r w:rsidRPr="002B2ACB">
        <w:rPr>
          <w:rFonts w:asciiTheme="majorBidi" w:eastAsia="Calibri" w:hAnsiTheme="majorBidi" w:cstheme="majorBidi"/>
          <w:iCs/>
          <w:sz w:val="24"/>
          <w:szCs w:val="24"/>
        </w:rPr>
        <w:t>as long as</w:t>
      </w:r>
      <w:proofErr w:type="gramEnd"/>
      <w:r w:rsidRPr="002B2ACB">
        <w:rPr>
          <w:rFonts w:asciiTheme="majorBidi" w:eastAsia="Calibri" w:hAnsiTheme="majorBidi" w:cstheme="majorBidi"/>
          <w:iCs/>
          <w:sz w:val="24"/>
          <w:szCs w:val="24"/>
        </w:rPr>
        <w:t xml:space="preserve"> they can provide proof of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rights in the form of written documents. This is in accordance with the provisions set forth in Article 24 paragraph (1) of Government Regulation Number 24 of 1997, emphasizing the importance of legitimate ownership and regulating the mechanism for the transfer of state-controlled land rights to deserving individuals.</w:t>
      </w:r>
    </w:p>
    <w:p w14:paraId="599A1F7D" w14:textId="77777777" w:rsidR="00CD01DB" w:rsidRDefault="002B2ACB" w:rsidP="00CD01DB">
      <w:pPr>
        <w:pStyle w:val="BodyText"/>
        <w:tabs>
          <w:tab w:val="left" w:pos="5250"/>
        </w:tabs>
        <w:spacing w:line="276" w:lineRule="auto"/>
        <w:ind w:right="98" w:firstLine="567"/>
        <w:rPr>
          <w:rFonts w:asciiTheme="majorBidi" w:eastAsia="Calibri" w:hAnsiTheme="majorBidi" w:cstheme="majorBidi"/>
          <w:iCs/>
          <w:sz w:val="24"/>
          <w:szCs w:val="24"/>
        </w:rPr>
      </w:pPr>
      <w:r w:rsidRPr="002B2ACB">
        <w:rPr>
          <w:rFonts w:asciiTheme="majorBidi" w:eastAsia="Calibri" w:hAnsiTheme="majorBidi" w:cstheme="majorBidi"/>
          <w:iCs/>
          <w:sz w:val="24"/>
          <w:szCs w:val="24"/>
        </w:rPr>
        <w:t xml:space="preserve">Legal protection for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w:t>
      </w:r>
      <w:proofErr w:type="spellStart"/>
      <w:r w:rsidRPr="002B2ACB">
        <w:rPr>
          <w:rFonts w:asciiTheme="majorBidi" w:eastAsia="Calibri" w:hAnsiTheme="majorBidi" w:cstheme="majorBidi"/>
          <w:iCs/>
          <w:sz w:val="24"/>
          <w:szCs w:val="24"/>
        </w:rPr>
        <w:t>verponding</w:t>
      </w:r>
      <w:proofErr w:type="spellEnd"/>
      <w:r w:rsidRPr="002B2ACB">
        <w:rPr>
          <w:rFonts w:asciiTheme="majorBidi" w:eastAsia="Calibri" w:hAnsiTheme="majorBidi" w:cstheme="majorBidi"/>
          <w:iCs/>
          <w:sz w:val="24"/>
          <w:szCs w:val="24"/>
        </w:rPr>
        <w:t xml:space="preserve"> deeds in the context of inheritance rights in Indonesia faces several weaknesses that may affect legal certainty and the inheritance rights of heirs. One of the main weaknesses is the lack of public understanding regarding the importance of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deeds as evidence of legitimate ownership rights. Many people believe that land ownership can be sufficiently proven by informal documents or verbal agreements, which can lead to disputes in the future. This lack of awareness often results in heirs not having strong evidence to prove their rights to inherited land, especially if the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deeds are not officially registered.</w:t>
      </w:r>
    </w:p>
    <w:p w14:paraId="31189FF5" w14:textId="77777777" w:rsidR="00CD01DB" w:rsidRDefault="002B2ACB" w:rsidP="00CD01DB">
      <w:pPr>
        <w:pStyle w:val="BodyText"/>
        <w:tabs>
          <w:tab w:val="left" w:pos="5250"/>
        </w:tabs>
        <w:spacing w:line="276" w:lineRule="auto"/>
        <w:ind w:right="98" w:firstLine="567"/>
        <w:rPr>
          <w:rFonts w:asciiTheme="majorBidi" w:eastAsia="Calibri" w:hAnsiTheme="majorBidi" w:cstheme="majorBidi"/>
          <w:iCs/>
          <w:sz w:val="24"/>
          <w:szCs w:val="24"/>
        </w:rPr>
      </w:pPr>
      <w:r w:rsidRPr="002B2ACB">
        <w:rPr>
          <w:rFonts w:asciiTheme="majorBidi" w:eastAsia="Calibri" w:hAnsiTheme="majorBidi" w:cstheme="majorBidi"/>
          <w:iCs/>
          <w:sz w:val="24"/>
          <w:szCs w:val="24"/>
        </w:rPr>
        <w:t xml:space="preserve">The process of registering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w:t>
      </w:r>
      <w:proofErr w:type="spellStart"/>
      <w:r w:rsidRPr="002B2ACB">
        <w:rPr>
          <w:rFonts w:asciiTheme="majorBidi" w:eastAsia="Calibri" w:hAnsiTheme="majorBidi" w:cstheme="majorBidi"/>
          <w:iCs/>
          <w:sz w:val="24"/>
          <w:szCs w:val="24"/>
        </w:rPr>
        <w:t>verponding</w:t>
      </w:r>
      <w:proofErr w:type="spellEnd"/>
      <w:r w:rsidRPr="002B2ACB">
        <w:rPr>
          <w:rFonts w:asciiTheme="majorBidi" w:eastAsia="Calibri" w:hAnsiTheme="majorBidi" w:cstheme="majorBidi"/>
          <w:iCs/>
          <w:sz w:val="24"/>
          <w:szCs w:val="24"/>
        </w:rPr>
        <w:t xml:space="preserve"> deeds at the National Land Agency (BPN) also faces various obstacles, such as complicated bureaucracy and a lack of transparency. Delays in document processing and unclear information regarding registration procedures make many people hesitant to pursue official ownership deeds. As a result, land that should have its rights protected becomes vulnerable to claims by third parties who may possess invalid ownership documents. This situation can lead to conflicts between heirs and others claiming rights to the same land, ultimately complicating dispute resolution processes</w:t>
      </w:r>
      <w:r w:rsidR="00CD01DB">
        <w:rPr>
          <w:rFonts w:asciiTheme="majorBidi" w:eastAsia="Calibri" w:hAnsiTheme="majorBidi" w:cstheme="majorBidi"/>
          <w:iCs/>
          <w:sz w:val="24"/>
          <w:szCs w:val="24"/>
        </w:rPr>
        <w:t>.</w:t>
      </w:r>
    </w:p>
    <w:p w14:paraId="4429D108" w14:textId="725E921F" w:rsidR="002B2ACB" w:rsidRPr="002B2ACB" w:rsidRDefault="002B2ACB" w:rsidP="00CD01DB">
      <w:pPr>
        <w:pStyle w:val="BodyText"/>
        <w:tabs>
          <w:tab w:val="left" w:pos="5250"/>
        </w:tabs>
        <w:spacing w:line="276" w:lineRule="auto"/>
        <w:ind w:right="98" w:firstLine="567"/>
        <w:rPr>
          <w:rFonts w:asciiTheme="majorBidi" w:eastAsia="Calibri" w:hAnsiTheme="majorBidi" w:cstheme="majorBidi"/>
          <w:iCs/>
          <w:sz w:val="24"/>
          <w:szCs w:val="24"/>
        </w:rPr>
      </w:pPr>
      <w:r w:rsidRPr="002B2ACB">
        <w:rPr>
          <w:rFonts w:asciiTheme="majorBidi" w:eastAsia="Calibri" w:hAnsiTheme="majorBidi" w:cstheme="majorBidi"/>
          <w:iCs/>
          <w:sz w:val="24"/>
          <w:szCs w:val="24"/>
        </w:rPr>
        <w:t xml:space="preserve">Weaknesses in legal protection for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w:t>
      </w:r>
      <w:proofErr w:type="spellStart"/>
      <w:r w:rsidRPr="002B2ACB">
        <w:rPr>
          <w:rFonts w:asciiTheme="majorBidi" w:eastAsia="Calibri" w:hAnsiTheme="majorBidi" w:cstheme="majorBidi"/>
          <w:iCs/>
          <w:sz w:val="24"/>
          <w:szCs w:val="24"/>
        </w:rPr>
        <w:t>verponding</w:t>
      </w:r>
      <w:proofErr w:type="spellEnd"/>
      <w:r w:rsidRPr="002B2ACB">
        <w:rPr>
          <w:rFonts w:asciiTheme="majorBidi" w:eastAsia="Calibri" w:hAnsiTheme="majorBidi" w:cstheme="majorBidi"/>
          <w:iCs/>
          <w:sz w:val="24"/>
          <w:szCs w:val="24"/>
        </w:rPr>
        <w:t xml:space="preserve"> deeds can also lead to the legitimate loss of inheritance rights. If heirs cannot prove their ownership with valid deeds, they risk losing their rights to inherited land. Moreover, if disputes arise and the case is brought to court, judicial decisions are often based on stronger formal evidence, such as registered and valid deeds. This can potentially disadvantage heirs who only possess informal evidence or incomplete documentation. Therefore, it is crucial to improve public understanding regarding the importance of </w:t>
      </w:r>
      <w:proofErr w:type="spellStart"/>
      <w:r w:rsidRPr="002B2ACB">
        <w:rPr>
          <w:rFonts w:asciiTheme="majorBidi" w:eastAsia="Calibri" w:hAnsiTheme="majorBidi" w:cstheme="majorBidi"/>
          <w:iCs/>
          <w:sz w:val="24"/>
          <w:szCs w:val="24"/>
        </w:rPr>
        <w:t>eigendom</w:t>
      </w:r>
      <w:proofErr w:type="spellEnd"/>
      <w:r w:rsidRPr="002B2ACB">
        <w:rPr>
          <w:rFonts w:asciiTheme="majorBidi" w:eastAsia="Calibri" w:hAnsiTheme="majorBidi" w:cstheme="majorBidi"/>
          <w:iCs/>
          <w:sz w:val="24"/>
          <w:szCs w:val="24"/>
        </w:rPr>
        <w:t xml:space="preserve"> </w:t>
      </w:r>
      <w:proofErr w:type="spellStart"/>
      <w:r w:rsidRPr="002B2ACB">
        <w:rPr>
          <w:rFonts w:asciiTheme="majorBidi" w:eastAsia="Calibri" w:hAnsiTheme="majorBidi" w:cstheme="majorBidi"/>
          <w:iCs/>
          <w:sz w:val="24"/>
          <w:szCs w:val="24"/>
        </w:rPr>
        <w:t>verponding</w:t>
      </w:r>
      <w:proofErr w:type="spellEnd"/>
      <w:r w:rsidRPr="002B2ACB">
        <w:rPr>
          <w:rFonts w:asciiTheme="majorBidi" w:eastAsia="Calibri" w:hAnsiTheme="majorBidi" w:cstheme="majorBidi"/>
          <w:iCs/>
          <w:sz w:val="24"/>
          <w:szCs w:val="24"/>
        </w:rPr>
        <w:t xml:space="preserve"> deeds and encourage them to undergo the proper registration process to ensure their inheritance rights are legally protected.</w:t>
      </w:r>
    </w:p>
    <w:p w14:paraId="1344EF8F" w14:textId="77777777" w:rsidR="002B2ACB" w:rsidRPr="002B2ACB" w:rsidRDefault="002B2ACB" w:rsidP="00CD01DB">
      <w:pPr>
        <w:pStyle w:val="BodyText"/>
        <w:tabs>
          <w:tab w:val="left" w:pos="5250"/>
        </w:tabs>
        <w:spacing w:line="276" w:lineRule="auto"/>
        <w:ind w:right="98"/>
        <w:rPr>
          <w:rFonts w:asciiTheme="majorBidi" w:eastAsia="Calibri" w:hAnsiTheme="majorBidi" w:cstheme="majorBidi"/>
          <w:iCs/>
          <w:sz w:val="24"/>
          <w:szCs w:val="24"/>
        </w:rPr>
      </w:pPr>
    </w:p>
    <w:p w14:paraId="56A6F7A5" w14:textId="77777777" w:rsidR="002B2ACB" w:rsidRPr="002B2ACB" w:rsidRDefault="002B2ACB" w:rsidP="00CD01DB">
      <w:pPr>
        <w:pStyle w:val="BodyText"/>
        <w:tabs>
          <w:tab w:val="left" w:pos="5250"/>
        </w:tabs>
        <w:spacing w:line="276" w:lineRule="auto"/>
        <w:ind w:right="98" w:firstLine="0"/>
        <w:rPr>
          <w:rFonts w:asciiTheme="majorBidi" w:eastAsia="Calibri" w:hAnsiTheme="majorBidi" w:cstheme="majorBidi"/>
          <w:b/>
          <w:bCs/>
          <w:iCs/>
          <w:sz w:val="24"/>
          <w:szCs w:val="24"/>
          <w:lang w:val="sk-SK"/>
        </w:rPr>
      </w:pPr>
      <w:r w:rsidRPr="002B2ACB">
        <w:rPr>
          <w:rFonts w:asciiTheme="majorBidi" w:eastAsia="Calibri" w:hAnsiTheme="majorBidi" w:cstheme="majorBidi"/>
          <w:b/>
          <w:bCs/>
          <w:iCs/>
          <w:sz w:val="24"/>
          <w:szCs w:val="24"/>
          <w:lang w:val="sk-SK"/>
        </w:rPr>
        <w:t>Efforts for Holders of Eigendom Verponding Rights in the Form of Inheritance Rights to Prevent Loss of Those Rights</w:t>
      </w:r>
    </w:p>
    <w:p w14:paraId="188480BD" w14:textId="77777777" w:rsidR="00CD01DB" w:rsidRDefault="002B2ACB" w:rsidP="00CD01DB">
      <w:pPr>
        <w:pStyle w:val="BodyText"/>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Holders of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rights must have a clear understanding of the legal strength of their ownership documents. This deed serves as legal evidence of land ownership that has been acquired lawfully. In the context of inheritance, this deed becomes critically important as it can be used as evidence in the inheritance process. In the event of a dispute or challenge to land ownership, the holder of the rights must be prepared to defend the validity of their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deed in a court of law. The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deed is a legal document that declares an individual's ownership of land based on applicable agrarian law. This deed acts as legal proof that can affirm the owner's rights over the land they possess.</w:t>
      </w:r>
      <w:r w:rsidR="00CD01DB">
        <w:rPr>
          <w:rFonts w:asciiTheme="majorBidi" w:eastAsia="Calibri" w:hAnsiTheme="majorBidi" w:cstheme="majorBidi"/>
          <w:iCs/>
          <w:sz w:val="24"/>
          <w:szCs w:val="24"/>
          <w:lang w:val="en-ID"/>
        </w:rPr>
        <w:t xml:space="preserve"> </w:t>
      </w:r>
      <w:r w:rsidRPr="002B2ACB">
        <w:rPr>
          <w:rFonts w:asciiTheme="majorBidi" w:eastAsia="Calibri" w:hAnsiTheme="majorBidi" w:cstheme="majorBidi"/>
          <w:iCs/>
          <w:sz w:val="24"/>
          <w:szCs w:val="24"/>
          <w:lang w:val="en-ID"/>
        </w:rPr>
        <w:t xml:space="preserve">Therefore, holders of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rights need to understand that the deed is not </w:t>
      </w:r>
      <w:r w:rsidRPr="002B2ACB">
        <w:rPr>
          <w:rFonts w:asciiTheme="majorBidi" w:eastAsia="Calibri" w:hAnsiTheme="majorBidi" w:cstheme="majorBidi"/>
          <w:iCs/>
          <w:sz w:val="24"/>
          <w:szCs w:val="24"/>
          <w:lang w:val="en-ID"/>
        </w:rPr>
        <w:lastRenderedPageBreak/>
        <w:t>merely a document but an official recognition from the state regarding their land ownership. In legal contexts, the strength of this deed is crucial as it provides the basis for holders to claim recognition and legal protection for their land.</w:t>
      </w:r>
    </w:p>
    <w:p w14:paraId="4A0B4DCE" w14:textId="77777777" w:rsidR="00CD01DB" w:rsidRDefault="002B2ACB" w:rsidP="00CD01DB">
      <w:pPr>
        <w:pStyle w:val="BodyText"/>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In matters of inheritance, the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deed plays a vital role. When the holder of the rights passes away, this deed becomes one of the main documents used by heirs to claim rights to the land. In the process of transferring rights, this deed will serve as valid evidence to prove that the heirs have rights to the land in question. If this deed is absent, it will be difficult for the heirs to substantiate their claims, potentially leading to disputes or conflicts among parties who claim to be the rightful owners. Therefore, having a valid and registered deed is essential to ensure a smooth inheritance process. When disputes or challenges to land ownership arise, holders of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rights must be capable of defending the validity of their deeds in court or other legal forums. In this case, the legal strength of this deed provides protection to the rights holder, allowing them to claim ownership of the land. They need to recognize that this deed will be supported by other documents, such as tax payment receipts, certificates from government agencies, and relevant documents. Additionally, rights holders should prepare themselves to formulate strong legal arguments to support their claims. To ensure that their rights are protected, it is advisable for holders of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rights to consult with legal advisors or notaries. Through this consultation, they will gain a better understanding of their rights and obligations, as well as the steps needed to maintain the validity of their deeds. Moreover, legal advisors can provide guidance on the best way to manage land rights and prepare the necessary documents for the inheritance process, including drafting a will if needed.</w:t>
      </w:r>
    </w:p>
    <w:p w14:paraId="0F016BEE" w14:textId="77777777" w:rsidR="00CD01DB" w:rsidRDefault="002B2ACB" w:rsidP="00CD01DB">
      <w:pPr>
        <w:pStyle w:val="BodyText"/>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Another effort is land registration, which is an important process in managing land rights, including for holders of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rights. This process is carried out in accordance with applicable regulations to ensure that land ownership is guaranteed and recognized legally. Through registration, rights holders not only obtain land certificates but also create legal certainty regarding the status of the land. The certificate issued </w:t>
      </w:r>
      <w:proofErr w:type="gramStart"/>
      <w:r w:rsidRPr="002B2ACB">
        <w:rPr>
          <w:rFonts w:asciiTheme="majorBidi" w:eastAsia="Calibri" w:hAnsiTheme="majorBidi" w:cstheme="majorBidi"/>
          <w:iCs/>
          <w:sz w:val="24"/>
          <w:szCs w:val="24"/>
          <w:lang w:val="en-ID"/>
        </w:rPr>
        <w:t>as a result of</w:t>
      </w:r>
      <w:proofErr w:type="gramEnd"/>
      <w:r w:rsidRPr="002B2ACB">
        <w:rPr>
          <w:rFonts w:asciiTheme="majorBidi" w:eastAsia="Calibri" w:hAnsiTheme="majorBidi" w:cstheme="majorBidi"/>
          <w:iCs/>
          <w:sz w:val="24"/>
          <w:szCs w:val="24"/>
          <w:lang w:val="en-ID"/>
        </w:rPr>
        <w:t xml:space="preserve"> land registration serves as valid proof that can be used in various situations, including in rights transfers, sales transactions, and dispute resolutions. By holding a valid land certificate, rights holders can more easily prove their ownership in front of third parties or government institutions. Converting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rights into ownership rights is a strategic step that holders can take to strengthen their legal position over the land. This conversion process aims to change the legal status of the land from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which is inherited </w:t>
      </w:r>
      <w:proofErr w:type="gramStart"/>
      <w:r w:rsidRPr="002B2ACB">
        <w:rPr>
          <w:rFonts w:asciiTheme="majorBidi" w:eastAsia="Calibri" w:hAnsiTheme="majorBidi" w:cstheme="majorBidi"/>
          <w:iCs/>
          <w:sz w:val="24"/>
          <w:szCs w:val="24"/>
          <w:lang w:val="en-ID"/>
        </w:rPr>
        <w:t>from the colonial legal system,</w:t>
      </w:r>
      <w:proofErr w:type="gramEnd"/>
      <w:r w:rsidRPr="002B2ACB">
        <w:rPr>
          <w:rFonts w:asciiTheme="majorBidi" w:eastAsia="Calibri" w:hAnsiTheme="majorBidi" w:cstheme="majorBidi"/>
          <w:iCs/>
          <w:sz w:val="24"/>
          <w:szCs w:val="24"/>
          <w:lang w:val="en-ID"/>
        </w:rPr>
        <w:t xml:space="preserve"> to ownership rights recognized in national agrarian law. By changing the rights status, rights holders not only obtain stronger legal certainty but also provide better legal protection for the inheritance rights that may be received by the heirs. This rights conversion creates clarity regarding land ownership status, which is crucial to ensure that inheritance rights can be acknowledged easily and are not obstructed by ambiguous legal statuses. By conducting registration and rights conversion, holders of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rights not only protect their land ownership but also the inheritance rights that will be received by future generations. In the context of inheritance, land certificates issued after registration and conversion will serve as strong evidence to claim rights to the land. Heirs obtaining land through this process will find it easier to gain recognition from third parties and government institutions, as well as have better access to the rights attached to the land. Thus, registration and conversion of rights </w:t>
      </w:r>
      <w:r w:rsidRPr="002B2ACB">
        <w:rPr>
          <w:rFonts w:asciiTheme="majorBidi" w:eastAsia="Calibri" w:hAnsiTheme="majorBidi" w:cstheme="majorBidi"/>
          <w:iCs/>
          <w:sz w:val="24"/>
          <w:szCs w:val="24"/>
          <w:lang w:val="en-ID"/>
        </w:rPr>
        <w:lastRenderedPageBreak/>
        <w:t>provide guarantees for the continuity of land rights in the future, while reducing the risk of land disputes.</w:t>
      </w:r>
    </w:p>
    <w:p w14:paraId="0679B25E" w14:textId="77777777" w:rsidR="00CD01DB" w:rsidRDefault="002B2ACB" w:rsidP="00CD01DB">
      <w:pPr>
        <w:pStyle w:val="BodyText"/>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To carry out the registration and conversion of rights, rights holders need to understand the processes and applicable requirements. Generally, this process involves submitting valid ownership documents, such as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deeds, proof of tax payments, as well as maps or surveys of the land. Once these documents are complete, the applicant can submit their application to the National Land Agency (BPN) for registration and rights conversion. It is important to ensure that all necessary documents are well-prepared to facilitate a smooth process. In addition, rights holders are advised to consult legal experts or notaries for guidance in completing this process so that land rights can be assured and optimally protected. If an inheritance event has occurred, the next step for the heirs is to submit an inheritance rights application. This process is crucial to ensure that the rights held by the heirs over the inherited land are officially recognized in the national land system. Submitting a rights application to the National Land Agency (BPN) or relevant authorities not only provides legal certainty for the heirs but also acts as a preventive measure to avoid potential disputes that may arise in the future. By formally submitting their application, heirs can obtain formal recognition of their rights, thereby ensuring and reinforcing the legal status of the land.</w:t>
      </w:r>
    </w:p>
    <w:p w14:paraId="623D21B0" w14:textId="77777777" w:rsidR="00CD01DB" w:rsidRDefault="002B2ACB" w:rsidP="00CD01DB">
      <w:pPr>
        <w:pStyle w:val="BodyText"/>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In submitting an inheritance rights application, heirs need to prepare and complete the necessary documents. The main document often required is a deed of inheritance that indicates the transfer of rights from the deceased to the heirs. Additionally, evidence of previous land ownership, such as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w:t>
      </w:r>
      <w:proofErr w:type="spellStart"/>
      <w:r w:rsidRPr="002B2ACB">
        <w:rPr>
          <w:rFonts w:asciiTheme="majorBidi" w:eastAsia="Calibri" w:hAnsiTheme="majorBidi" w:cstheme="majorBidi"/>
          <w:iCs/>
          <w:sz w:val="24"/>
          <w:szCs w:val="24"/>
          <w:lang w:val="en-ID"/>
        </w:rPr>
        <w:t>verponding</w:t>
      </w:r>
      <w:proofErr w:type="spellEnd"/>
      <w:r w:rsidRPr="002B2ACB">
        <w:rPr>
          <w:rFonts w:asciiTheme="majorBidi" w:eastAsia="Calibri" w:hAnsiTheme="majorBidi" w:cstheme="majorBidi"/>
          <w:iCs/>
          <w:sz w:val="24"/>
          <w:szCs w:val="24"/>
          <w:lang w:val="en-ID"/>
        </w:rPr>
        <w:t xml:space="preserve"> deeds or land certificates, must also be included to demonstrate that the land is indeed part of the inheritance. Valid identification documents for each heir are also required to verify the validity of the claims submitted. This process necessitates that all documents be prepared meticulously to avoid delays in recognition of rights. Once the documents are complete, heirs must submit their application to BPN or other relevant authorities in accordance with the established procedures. Applications typically need to be submitted in writing and accompanied by all relevant documents. The BPN will verify the submitted documents, and if all requirements are met, they will issue a letter of inheritance rights recognition. It is important for heirs to thoroughly research and follow all necessary administrative procedures to ensure that the application is accepted and that no issues arise during the process.</w:t>
      </w:r>
    </w:p>
    <w:p w14:paraId="53A0BA06" w14:textId="77777777" w:rsidR="00CD01DB" w:rsidRDefault="002B2ACB" w:rsidP="00CD01DB">
      <w:pPr>
        <w:pStyle w:val="BodyText"/>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By submitting inheritance rights applications in an accurate and procedure-compliant manner, heirs not only secure their rights but also create legal certainty over the inherited land. With official recognition from BPN, each heir has a strong legal basis to assert their rights. This is crucial to prevent potential disputes in the future, especially if other parties claim rights over the same land. Clear and registered recognition of inheritance rights in the land system will facilitate heirs in conducting transactions or managing the land in the future.</w:t>
      </w:r>
    </w:p>
    <w:p w14:paraId="6F469E42" w14:textId="77777777" w:rsidR="00CD01DB" w:rsidRDefault="002B2ACB" w:rsidP="00CD01DB">
      <w:pPr>
        <w:pStyle w:val="BodyText"/>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 xml:space="preserve">When disputes arise regarding </w:t>
      </w:r>
      <w:proofErr w:type="spellStart"/>
      <w:r w:rsidRPr="002B2ACB">
        <w:rPr>
          <w:rFonts w:asciiTheme="majorBidi" w:eastAsia="Calibri" w:hAnsiTheme="majorBidi" w:cstheme="majorBidi"/>
          <w:iCs/>
          <w:sz w:val="24"/>
          <w:szCs w:val="24"/>
          <w:lang w:val="en-ID"/>
        </w:rPr>
        <w:t>eigendom</w:t>
      </w:r>
      <w:proofErr w:type="spellEnd"/>
      <w:r w:rsidRPr="002B2ACB">
        <w:rPr>
          <w:rFonts w:asciiTheme="majorBidi" w:eastAsia="Calibri" w:hAnsiTheme="majorBidi" w:cstheme="majorBidi"/>
          <w:iCs/>
          <w:sz w:val="24"/>
          <w:szCs w:val="24"/>
          <w:lang w:val="en-ID"/>
        </w:rPr>
        <w:t xml:space="preserve"> rights, mediation becomes a critical first step when issues related to inheritance rights occur. The mediation process provides an opportunity for rights holders and heirs to communicate and negotiate directly, aiming to achieve a mutually beneficial agreement. In mediation, an independent mediator will help facilitate discussions between the parties, creating a conducive environment for dialogue. The advantages of mediation include a faster process, lower costs, and a more flexible nature compared to litigation in court. Therefore, mediation is a wise choice for easing tensions and seeking </w:t>
      </w:r>
      <w:r w:rsidRPr="002B2ACB">
        <w:rPr>
          <w:rFonts w:asciiTheme="majorBidi" w:eastAsia="Calibri" w:hAnsiTheme="majorBidi" w:cstheme="majorBidi"/>
          <w:iCs/>
          <w:sz w:val="24"/>
          <w:szCs w:val="24"/>
          <w:lang w:val="en-ID"/>
        </w:rPr>
        <w:lastRenderedPageBreak/>
        <w:t>solutions without involving complex legal processes. The mediation process begins with an agreement between the parties to use mediation as a dispute resolution method. After that, a mediator will be chosen, who may be a licensed professional or an individual deemed neutral by both parties. During mediation sessions, both parties will have the opportunity to express their views, defend their positions, and listen to the perspectives of the other party.</w:t>
      </w:r>
      <w:r w:rsidR="00CD01DB">
        <w:rPr>
          <w:rFonts w:asciiTheme="majorBidi" w:eastAsia="Calibri" w:hAnsiTheme="majorBidi" w:cstheme="majorBidi"/>
          <w:iCs/>
          <w:sz w:val="24"/>
          <w:szCs w:val="24"/>
          <w:lang w:val="en-ID"/>
        </w:rPr>
        <w:t xml:space="preserve"> </w:t>
      </w:r>
      <w:r w:rsidRPr="002B2ACB">
        <w:rPr>
          <w:rFonts w:asciiTheme="majorBidi" w:eastAsia="Calibri" w:hAnsiTheme="majorBidi" w:cstheme="majorBidi"/>
          <w:iCs/>
          <w:sz w:val="24"/>
          <w:szCs w:val="24"/>
          <w:lang w:val="en-ID"/>
        </w:rPr>
        <w:t>The mediator will work to identify the underlying interests of each party and seek solutions acceptable to all. If an agreement is reached, the mediator will assist in drafting an agreement that affirms the outcome of the mediation.</w:t>
      </w:r>
    </w:p>
    <w:p w14:paraId="3C1EBE57" w14:textId="1B2B82D3" w:rsidR="002B2ACB" w:rsidRPr="002B2ACB" w:rsidRDefault="002B2ACB" w:rsidP="00CD01DB">
      <w:pPr>
        <w:pStyle w:val="BodyText"/>
        <w:spacing w:line="276" w:lineRule="auto"/>
        <w:ind w:right="98" w:firstLine="567"/>
        <w:rPr>
          <w:rFonts w:asciiTheme="majorBidi" w:eastAsia="Calibri" w:hAnsiTheme="majorBidi" w:cstheme="majorBidi"/>
          <w:iCs/>
          <w:sz w:val="24"/>
          <w:szCs w:val="24"/>
          <w:lang w:val="en-ID"/>
        </w:rPr>
      </w:pPr>
      <w:r w:rsidRPr="002B2ACB">
        <w:rPr>
          <w:rFonts w:asciiTheme="majorBidi" w:eastAsia="Calibri" w:hAnsiTheme="majorBidi" w:cstheme="majorBidi"/>
          <w:iCs/>
          <w:sz w:val="24"/>
          <w:szCs w:val="24"/>
          <w:lang w:val="en-ID"/>
        </w:rPr>
        <w:t>While mediation is often effective in resolving disputes, it is not uncommon for mediation to fail, and parties may be unable to reach an agreement. In this case, the rights holder and heirs have the right to take the matter to court. This litigation process can be more formal and complex, making it advisable to involve experienced legal advisors. Legal advisors will provide direction on necessary steps, assist in drafting required legal documents, and represent the interests of clients in court. Through this process, the disputing parties will receive a binding legal decision, which will serve as the basis for resolving the inheritance rights. The presence of legal advisors is essential in both processes, mediation and litigation. Legal advisors not only serve as representatives but also as strategic advisors who will help clients understand their rights and the available options. They can provide in-depth analysis of the legal situation, as well as anticipate the possible outcomes of each step taken. With the assistance of legal advisors, rights holders and heirs can feel more confident in facing legal processes and ensure that every step taken is in accordance with applicable legal provisions.</w:t>
      </w:r>
    </w:p>
    <w:p w14:paraId="431DFEB6" w14:textId="77777777" w:rsidR="003214E8" w:rsidRPr="00CD01DB" w:rsidRDefault="003214E8" w:rsidP="00CD01DB">
      <w:pPr>
        <w:pStyle w:val="BodyText"/>
        <w:tabs>
          <w:tab w:val="left" w:pos="5250"/>
        </w:tabs>
        <w:spacing w:line="276" w:lineRule="auto"/>
        <w:ind w:right="98" w:firstLine="0"/>
        <w:rPr>
          <w:rFonts w:asciiTheme="majorBidi" w:hAnsiTheme="majorBidi" w:cstheme="majorBidi"/>
          <w:b/>
          <w:bCs/>
          <w:sz w:val="24"/>
          <w:szCs w:val="24"/>
          <w:lang w:val="en-ID"/>
        </w:rPr>
      </w:pPr>
    </w:p>
    <w:p w14:paraId="34821DBB" w14:textId="4103A000" w:rsidR="007C2974" w:rsidRPr="00CD01DB" w:rsidRDefault="007C2974" w:rsidP="00CD01DB">
      <w:pPr>
        <w:pStyle w:val="BodyText"/>
        <w:tabs>
          <w:tab w:val="left" w:pos="5250"/>
        </w:tabs>
        <w:spacing w:line="276" w:lineRule="auto"/>
        <w:ind w:right="98" w:firstLine="0"/>
        <w:rPr>
          <w:rFonts w:asciiTheme="majorBidi" w:hAnsiTheme="majorBidi" w:cstheme="majorBidi"/>
          <w:b/>
          <w:bCs/>
          <w:sz w:val="24"/>
          <w:szCs w:val="24"/>
        </w:rPr>
      </w:pPr>
      <w:r w:rsidRPr="00CD01DB">
        <w:rPr>
          <w:rFonts w:asciiTheme="majorBidi" w:hAnsiTheme="majorBidi" w:cstheme="majorBidi"/>
          <w:b/>
          <w:bCs/>
          <w:sz w:val="24"/>
          <w:szCs w:val="24"/>
        </w:rPr>
        <w:t>CONCLUSION</w:t>
      </w:r>
      <w:r w:rsidR="00F54D77" w:rsidRPr="00CD01DB">
        <w:rPr>
          <w:rFonts w:asciiTheme="majorBidi" w:hAnsiTheme="majorBidi" w:cstheme="majorBidi"/>
          <w:b/>
          <w:bCs/>
          <w:sz w:val="24"/>
          <w:szCs w:val="24"/>
        </w:rPr>
        <w:tab/>
      </w:r>
    </w:p>
    <w:p w14:paraId="63BA5686" w14:textId="77777777" w:rsidR="00CD01DB" w:rsidRPr="00CD01DB" w:rsidRDefault="00CD01DB" w:rsidP="00CD01DB">
      <w:pPr>
        <w:spacing w:line="276" w:lineRule="auto"/>
        <w:ind w:right="98" w:firstLine="567"/>
        <w:jc w:val="both"/>
        <w:rPr>
          <w:rFonts w:asciiTheme="majorBidi" w:hAnsiTheme="majorBidi" w:cstheme="majorBidi"/>
          <w:spacing w:val="-1"/>
          <w:sz w:val="24"/>
          <w:szCs w:val="24"/>
          <w:lang w:val="en-GB"/>
        </w:rPr>
      </w:pPr>
      <w:r w:rsidRPr="00CD01DB">
        <w:rPr>
          <w:rFonts w:asciiTheme="majorBidi" w:hAnsiTheme="majorBidi" w:cstheme="majorBidi"/>
          <w:spacing w:val="-1"/>
          <w:sz w:val="24"/>
          <w:szCs w:val="24"/>
          <w:lang w:val="en-GB"/>
        </w:rPr>
        <w:t xml:space="preserve">The land dispute case between </w:t>
      </w:r>
      <w:proofErr w:type="spellStart"/>
      <w:r w:rsidRPr="00CD01DB">
        <w:rPr>
          <w:rFonts w:asciiTheme="majorBidi" w:hAnsiTheme="majorBidi" w:cstheme="majorBidi"/>
          <w:spacing w:val="-1"/>
          <w:sz w:val="24"/>
          <w:szCs w:val="24"/>
          <w:lang w:val="en-GB"/>
        </w:rPr>
        <w:t>Hj</w:t>
      </w:r>
      <w:proofErr w:type="spellEnd"/>
      <w:r w:rsidRPr="00CD01DB">
        <w:rPr>
          <w:rFonts w:asciiTheme="majorBidi" w:hAnsiTheme="majorBidi" w:cstheme="majorBidi"/>
          <w:spacing w:val="-1"/>
          <w:sz w:val="24"/>
          <w:szCs w:val="24"/>
          <w:lang w:val="en-GB"/>
        </w:rPr>
        <w:t xml:space="preserve">. Siti </w:t>
      </w:r>
      <w:proofErr w:type="spellStart"/>
      <w:r w:rsidRPr="00CD01DB">
        <w:rPr>
          <w:rFonts w:asciiTheme="majorBidi" w:hAnsiTheme="majorBidi" w:cstheme="majorBidi"/>
          <w:spacing w:val="-1"/>
          <w:sz w:val="24"/>
          <w:szCs w:val="24"/>
          <w:lang w:val="en-GB"/>
        </w:rPr>
        <w:t>Solehah</w:t>
      </w:r>
      <w:proofErr w:type="spellEnd"/>
      <w:r w:rsidRPr="00CD01DB">
        <w:rPr>
          <w:rFonts w:asciiTheme="majorBidi" w:hAnsiTheme="majorBidi" w:cstheme="majorBidi"/>
          <w:spacing w:val="-1"/>
          <w:sz w:val="24"/>
          <w:szCs w:val="24"/>
          <w:lang w:val="en-GB"/>
        </w:rPr>
        <w:t xml:space="preserve"> and the </w:t>
      </w:r>
      <w:proofErr w:type="spellStart"/>
      <w:r w:rsidRPr="00CD01DB">
        <w:rPr>
          <w:rFonts w:asciiTheme="majorBidi" w:hAnsiTheme="majorBidi" w:cstheme="majorBidi"/>
          <w:spacing w:val="-1"/>
          <w:sz w:val="24"/>
          <w:szCs w:val="24"/>
          <w:lang w:val="en-GB"/>
        </w:rPr>
        <w:t>Kemayoran</w:t>
      </w:r>
      <w:proofErr w:type="spellEnd"/>
      <w:r w:rsidRPr="00CD01DB">
        <w:rPr>
          <w:rFonts w:asciiTheme="majorBidi" w:hAnsiTheme="majorBidi" w:cstheme="majorBidi"/>
          <w:spacing w:val="-1"/>
          <w:sz w:val="24"/>
          <w:szCs w:val="24"/>
          <w:lang w:val="en-GB"/>
        </w:rPr>
        <w:t xml:space="preserve"> Complex Management </w:t>
      </w:r>
      <w:proofErr w:type="spellStart"/>
      <w:r w:rsidRPr="00CD01DB">
        <w:rPr>
          <w:rFonts w:asciiTheme="majorBidi" w:hAnsiTheme="majorBidi" w:cstheme="majorBidi"/>
          <w:spacing w:val="-1"/>
          <w:sz w:val="24"/>
          <w:szCs w:val="24"/>
          <w:lang w:val="en-GB"/>
        </w:rPr>
        <w:t>Center</w:t>
      </w:r>
      <w:proofErr w:type="spellEnd"/>
      <w:r w:rsidRPr="00CD01DB">
        <w:rPr>
          <w:rFonts w:asciiTheme="majorBidi" w:hAnsiTheme="majorBidi" w:cstheme="majorBidi"/>
          <w:spacing w:val="-1"/>
          <w:sz w:val="24"/>
          <w:szCs w:val="24"/>
          <w:lang w:val="en-GB"/>
        </w:rPr>
        <w:t xml:space="preserve"> exemplifies the complexities of agrarian legal issues in Indonesia, particularly regarding the conversion of land rights under the Basic Agrarian Law (UUPA). The Supreme Court's rejection of </w:t>
      </w:r>
      <w:proofErr w:type="spellStart"/>
      <w:r w:rsidRPr="00CD01DB">
        <w:rPr>
          <w:rFonts w:asciiTheme="majorBidi" w:hAnsiTheme="majorBidi" w:cstheme="majorBidi"/>
          <w:spacing w:val="-1"/>
          <w:sz w:val="24"/>
          <w:szCs w:val="24"/>
          <w:lang w:val="en-GB"/>
        </w:rPr>
        <w:t>Hj</w:t>
      </w:r>
      <w:proofErr w:type="spellEnd"/>
      <w:r w:rsidRPr="00CD01DB">
        <w:rPr>
          <w:rFonts w:asciiTheme="majorBidi" w:hAnsiTheme="majorBidi" w:cstheme="majorBidi"/>
          <w:spacing w:val="-1"/>
          <w:sz w:val="24"/>
          <w:szCs w:val="24"/>
          <w:lang w:val="en-GB"/>
        </w:rPr>
        <w:t xml:space="preserve">. Siti </w:t>
      </w:r>
      <w:proofErr w:type="spellStart"/>
      <w:r w:rsidRPr="00CD01DB">
        <w:rPr>
          <w:rFonts w:asciiTheme="majorBidi" w:hAnsiTheme="majorBidi" w:cstheme="majorBidi"/>
          <w:spacing w:val="-1"/>
          <w:sz w:val="24"/>
          <w:szCs w:val="24"/>
          <w:lang w:val="en-GB"/>
        </w:rPr>
        <w:t>Solehah's</w:t>
      </w:r>
      <w:proofErr w:type="spellEnd"/>
      <w:r w:rsidRPr="00CD01DB">
        <w:rPr>
          <w:rFonts w:asciiTheme="majorBidi" w:hAnsiTheme="majorBidi" w:cstheme="majorBidi"/>
          <w:spacing w:val="-1"/>
          <w:sz w:val="24"/>
          <w:szCs w:val="24"/>
          <w:lang w:val="en-GB"/>
        </w:rPr>
        <w:t xml:space="preserve"> lawsuit underscores the importance of legal certainty in protecting individual rights and preventing arbitrary actions by authorities, highlighting the need for timely registration and conversion of land rights to ensure continued legal protection. While the regulations detail the processes for conversion and registration, challenges in implementation remain, necessitating proactive measures from rights holders to secure recognition of their ownership. The importance of public understanding of agrarian regulations and procedures is critical to prevent disputes. Furthermore, clear ownership evidence through land certificates can mitigate potential conflicts, and holders of </w:t>
      </w:r>
      <w:proofErr w:type="spellStart"/>
      <w:r w:rsidRPr="00CD01DB">
        <w:rPr>
          <w:rFonts w:asciiTheme="majorBidi" w:hAnsiTheme="majorBidi" w:cstheme="majorBidi"/>
          <w:spacing w:val="-1"/>
          <w:sz w:val="24"/>
          <w:szCs w:val="24"/>
          <w:lang w:val="en-GB"/>
        </w:rPr>
        <w:t>eigendom</w:t>
      </w:r>
      <w:proofErr w:type="spellEnd"/>
      <w:r w:rsidRPr="00CD01DB">
        <w:rPr>
          <w:rFonts w:asciiTheme="majorBidi" w:hAnsiTheme="majorBidi" w:cstheme="majorBidi"/>
          <w:spacing w:val="-1"/>
          <w:sz w:val="24"/>
          <w:szCs w:val="24"/>
          <w:lang w:val="en-GB"/>
        </w:rPr>
        <w:t xml:space="preserve"> rights are encouraged to apply for new rights at the National Land Agency (BPN) to reclaim their land. Understanding the legal validity of ownership documents is essential for ensuring rightful inheritance and preventing disputes among heirs. The registration and conversion processes are vital for strengthening legal positions, while mediation serves as a prudent initial step in dispute resolution, with legal advisors essential for compliance if litigation becomes necessary. Ultimately, rights holders and heirs must be well-prepared and informed about legal processes to effectively protect their rights.</w:t>
      </w:r>
    </w:p>
    <w:p w14:paraId="05B4BC45" w14:textId="77777777" w:rsidR="0013321E" w:rsidRDefault="0013321E" w:rsidP="0013321E">
      <w:pPr>
        <w:spacing w:line="276" w:lineRule="auto"/>
        <w:ind w:right="98"/>
        <w:jc w:val="both"/>
        <w:rPr>
          <w:sz w:val="24"/>
          <w:szCs w:val="24"/>
          <w:lang w:val="en-GB"/>
        </w:rPr>
      </w:pPr>
    </w:p>
    <w:p w14:paraId="6A9AC147" w14:textId="77777777" w:rsidR="00CD01DB" w:rsidRDefault="00CD01DB" w:rsidP="0013321E">
      <w:pPr>
        <w:spacing w:line="276" w:lineRule="auto"/>
        <w:ind w:right="98"/>
        <w:jc w:val="both"/>
        <w:rPr>
          <w:sz w:val="24"/>
          <w:szCs w:val="24"/>
          <w:lang w:val="en-GB"/>
        </w:rPr>
      </w:pPr>
    </w:p>
    <w:p w14:paraId="651149CD" w14:textId="77777777" w:rsidR="00CD01DB" w:rsidRPr="002644B3" w:rsidRDefault="00CD01DB" w:rsidP="0013321E">
      <w:pPr>
        <w:spacing w:line="276" w:lineRule="auto"/>
        <w:ind w:right="98"/>
        <w:jc w:val="both"/>
        <w:rPr>
          <w:sz w:val="24"/>
          <w:szCs w:val="24"/>
          <w:lang w:val="en-GB"/>
        </w:rPr>
      </w:pPr>
    </w:p>
    <w:p w14:paraId="31B39082" w14:textId="50BBA990" w:rsidR="00136E00" w:rsidRDefault="00D60B6C" w:rsidP="00471F60">
      <w:pPr>
        <w:pStyle w:val="BodyText"/>
        <w:spacing w:line="276" w:lineRule="auto"/>
        <w:ind w:right="98" w:firstLine="0"/>
        <w:rPr>
          <w:b/>
          <w:sz w:val="24"/>
          <w:szCs w:val="24"/>
        </w:rPr>
      </w:pPr>
      <w:r w:rsidRPr="00136E00">
        <w:rPr>
          <w:b/>
          <w:sz w:val="24"/>
          <w:szCs w:val="24"/>
        </w:rPr>
        <w:lastRenderedPageBreak/>
        <w:t>REFERENCES</w:t>
      </w:r>
    </w:p>
    <w:p w14:paraId="706B1330"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lang w:val="fi-FI"/>
        </w:rPr>
      </w:pPr>
      <w:r w:rsidRPr="00CD01DB">
        <w:rPr>
          <w:rFonts w:asciiTheme="majorBidi" w:eastAsia="Times New Roman" w:hAnsiTheme="majorBidi" w:cstheme="majorBidi"/>
          <w:sz w:val="24"/>
          <w:szCs w:val="24"/>
          <w:lang w:val="fi-FI"/>
        </w:rPr>
        <w:t xml:space="preserve">[1] P. M. Marzuki, Penelitian Hukum, Jakarta: Kencana Prenada Group, 2007. </w:t>
      </w:r>
    </w:p>
    <w:p w14:paraId="56CC0575"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lang w:val="fi-FI"/>
        </w:rPr>
      </w:pPr>
      <w:r w:rsidRPr="00CD01DB">
        <w:rPr>
          <w:rFonts w:asciiTheme="majorBidi" w:eastAsia="Times New Roman" w:hAnsiTheme="majorBidi" w:cstheme="majorBidi"/>
          <w:sz w:val="24"/>
          <w:szCs w:val="24"/>
          <w:lang w:val="fi-FI"/>
        </w:rPr>
        <w:t xml:space="preserve">[2] P. Sutanto, "Akibat Hukum Bagi Pemegang Hak Bekas Eigendom Verponding Dalam Sengketa Kepemilikan Tanah," Jurnal Dialektika Hukum, vol. 4, no. 2, pp. 91-123, 2022. </w:t>
      </w:r>
    </w:p>
    <w:p w14:paraId="6BFA3E6E"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lang w:val="fi-FI"/>
        </w:rPr>
      </w:pPr>
      <w:r w:rsidRPr="00CD01DB">
        <w:rPr>
          <w:rFonts w:asciiTheme="majorBidi" w:eastAsia="Times New Roman" w:hAnsiTheme="majorBidi" w:cstheme="majorBidi"/>
          <w:sz w:val="24"/>
          <w:szCs w:val="24"/>
          <w:lang w:val="fi-FI"/>
        </w:rPr>
        <w:t xml:space="preserve">[3] A. S. Rifki Khrisna Mahendra and Ana Silviana, "Kekuatan Hukum Sertifikat Sebagai Bukti kepemilikan Hak Atas Tanah (Studi Kasus Putusan Nomor 191/B/2014/PT.TUN.SBY)," Diponegoro Law Journal, vol. 5, no. 3, pp. 1-15, 2016. </w:t>
      </w:r>
    </w:p>
    <w:p w14:paraId="7A39F57F"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lang w:val="sv-SE"/>
        </w:rPr>
      </w:pPr>
      <w:r w:rsidRPr="00CD01DB">
        <w:rPr>
          <w:rFonts w:asciiTheme="majorBidi" w:eastAsia="Times New Roman" w:hAnsiTheme="majorBidi" w:cstheme="majorBidi"/>
          <w:sz w:val="24"/>
          <w:szCs w:val="24"/>
          <w:lang w:val="sv-SE"/>
        </w:rPr>
        <w:t xml:space="preserve">[4] H. Muchsin, "Kebijkan Pertanahan Nasional (Telaah Kritis Dalam Perspektif Historis)," Jurnal Hukum dan Pembangunan, vol. 28, no. 4, p. 263. </w:t>
      </w:r>
    </w:p>
    <w:p w14:paraId="1C8C0CF0"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lang w:val="sv-SE"/>
        </w:rPr>
      </w:pPr>
      <w:r w:rsidRPr="00CD01DB">
        <w:rPr>
          <w:rFonts w:asciiTheme="majorBidi" w:eastAsia="Times New Roman" w:hAnsiTheme="majorBidi" w:cstheme="majorBidi"/>
          <w:sz w:val="24"/>
          <w:szCs w:val="24"/>
          <w:lang w:val="sv-SE"/>
        </w:rPr>
        <w:t xml:space="preserve">[5] D. AriesMujiburohman, "Problematika Pengaturan Tanah Negara Bekas Hak Yang Telah Berakhir," Jurnal Bhumi, vol. 2, no. 2, p. 16, 2016. </w:t>
      </w:r>
    </w:p>
    <w:p w14:paraId="43D91A25"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lang w:val="sv-SE"/>
        </w:rPr>
      </w:pPr>
      <w:r w:rsidRPr="00CD01DB">
        <w:rPr>
          <w:rFonts w:asciiTheme="majorBidi" w:eastAsia="Times New Roman" w:hAnsiTheme="majorBidi" w:cstheme="majorBidi"/>
          <w:sz w:val="24"/>
          <w:szCs w:val="24"/>
          <w:lang w:val="sv-SE"/>
        </w:rPr>
        <w:t xml:space="preserve">[6] U. Santoso, Perolehan Hak Atas Tanah, Depok: Kencana, 2017. </w:t>
      </w:r>
    </w:p>
    <w:p w14:paraId="7ACCD7CD"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lang w:val="sv-SE"/>
        </w:rPr>
      </w:pPr>
      <w:r w:rsidRPr="00CD01DB">
        <w:rPr>
          <w:rFonts w:asciiTheme="majorBidi" w:eastAsia="Times New Roman" w:hAnsiTheme="majorBidi" w:cstheme="majorBidi"/>
          <w:sz w:val="24"/>
          <w:szCs w:val="24"/>
          <w:lang w:val="sv-SE"/>
        </w:rPr>
        <w:t xml:space="preserve">[7] A. H. Usman, "Mencegah Sengketa Tanah,," Sol Justicia, vol. 5, no. 1, p. 65, 2022. </w:t>
      </w:r>
    </w:p>
    <w:p w14:paraId="1F7FD5ED"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lang w:val="sv-SE"/>
        </w:rPr>
      </w:pPr>
      <w:r w:rsidRPr="00CD01DB">
        <w:rPr>
          <w:rFonts w:asciiTheme="majorBidi" w:eastAsia="Times New Roman" w:hAnsiTheme="majorBidi" w:cstheme="majorBidi"/>
          <w:sz w:val="24"/>
          <w:szCs w:val="24"/>
          <w:lang w:val="sv-SE"/>
        </w:rPr>
        <w:t xml:space="preserve">[8] A. S. Hutagulung, Pertanahan dalam Dinamika Sosial, Jakarta: Djambatan, 1985. </w:t>
      </w:r>
    </w:p>
    <w:p w14:paraId="063EA1B8"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lang w:val="sv-SE"/>
        </w:rPr>
      </w:pPr>
      <w:r w:rsidRPr="00CD01DB">
        <w:rPr>
          <w:rFonts w:asciiTheme="majorBidi" w:eastAsia="Times New Roman" w:hAnsiTheme="majorBidi" w:cstheme="majorBidi"/>
          <w:sz w:val="24"/>
          <w:szCs w:val="24"/>
          <w:lang w:val="sv-SE"/>
        </w:rPr>
        <w:t xml:space="preserve">[9] S. Raharjo, Ilmu Hukum, Bandung: PT. Citra Aditya, 2000. </w:t>
      </w:r>
    </w:p>
    <w:p w14:paraId="2BCEC14C"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lang w:val="sv-SE"/>
        </w:rPr>
      </w:pPr>
      <w:r w:rsidRPr="00CD01DB">
        <w:rPr>
          <w:rFonts w:asciiTheme="majorBidi" w:eastAsia="Times New Roman" w:hAnsiTheme="majorBidi" w:cstheme="majorBidi"/>
          <w:sz w:val="24"/>
          <w:szCs w:val="24"/>
          <w:lang w:val="sv-SE"/>
        </w:rPr>
        <w:t xml:space="preserve">[10] Samsaimun, "Status Hak Atas Tanah Bagi Pemegang Hak Atas Tanah Yang Beralih Kewarganegaraan," Jurnal Hukum Jatiswara, vol. 34, no. 1, p. 27, 2019. </w:t>
      </w:r>
    </w:p>
    <w:p w14:paraId="35DA55F4"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lang w:val="sv-SE"/>
        </w:rPr>
      </w:pPr>
      <w:r w:rsidRPr="00CD01DB">
        <w:rPr>
          <w:rFonts w:asciiTheme="majorBidi" w:eastAsia="Times New Roman" w:hAnsiTheme="majorBidi" w:cstheme="majorBidi"/>
          <w:sz w:val="24"/>
          <w:szCs w:val="24"/>
          <w:lang w:val="sv-SE"/>
        </w:rPr>
        <w:t xml:space="preserve">[11] O. Notohamidjojo, Soal-soal Pokok Filsafat Hukum, Salatiga: Griya Media, 2011. </w:t>
      </w:r>
    </w:p>
    <w:p w14:paraId="14204736"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lang w:val="sv-SE"/>
        </w:rPr>
      </w:pPr>
      <w:r w:rsidRPr="00CD01DB">
        <w:rPr>
          <w:rFonts w:asciiTheme="majorBidi" w:eastAsia="Times New Roman" w:hAnsiTheme="majorBidi" w:cstheme="majorBidi"/>
          <w:sz w:val="24"/>
          <w:szCs w:val="24"/>
          <w:lang w:val="sv-SE"/>
        </w:rPr>
        <w:t xml:space="preserve">[12] Ramadhani, "Pendaftaran Tanah Sebagai Langkah Untuk Mendapatkan Kepastian Hukum Terhadap Hak Atas Tanah," Jurnal Sosial dan Ekonomi, p. 36, 2021. </w:t>
      </w:r>
    </w:p>
    <w:p w14:paraId="3558A6BA" w14:textId="77777777" w:rsidR="00CD01DB" w:rsidRPr="00CD01DB" w:rsidRDefault="00CD01DB" w:rsidP="00CD01D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asciiTheme="majorBidi" w:eastAsia="Times New Roman" w:hAnsiTheme="majorBidi" w:cstheme="majorBidi"/>
          <w:sz w:val="24"/>
          <w:szCs w:val="24"/>
        </w:rPr>
      </w:pPr>
      <w:r w:rsidRPr="00CD01DB">
        <w:rPr>
          <w:rFonts w:asciiTheme="majorBidi" w:eastAsia="Times New Roman" w:hAnsiTheme="majorBidi" w:cstheme="majorBidi"/>
          <w:sz w:val="24"/>
          <w:szCs w:val="24"/>
        </w:rPr>
        <w:t xml:space="preserve">[13] W. S. </w:t>
      </w:r>
      <w:proofErr w:type="spellStart"/>
      <w:r w:rsidRPr="00CD01DB">
        <w:rPr>
          <w:rFonts w:asciiTheme="majorBidi" w:eastAsia="Times New Roman" w:hAnsiTheme="majorBidi" w:cstheme="majorBidi"/>
          <w:sz w:val="24"/>
          <w:szCs w:val="24"/>
        </w:rPr>
        <w:t>Liadi</w:t>
      </w:r>
      <w:proofErr w:type="spellEnd"/>
      <w:r w:rsidRPr="00CD01DB">
        <w:rPr>
          <w:rFonts w:asciiTheme="majorBidi" w:eastAsia="Times New Roman" w:hAnsiTheme="majorBidi" w:cstheme="majorBidi"/>
          <w:sz w:val="24"/>
          <w:szCs w:val="24"/>
        </w:rPr>
        <w:t>, "</w:t>
      </w:r>
      <w:proofErr w:type="spellStart"/>
      <w:r w:rsidRPr="00CD01DB">
        <w:rPr>
          <w:rFonts w:asciiTheme="majorBidi" w:eastAsia="Times New Roman" w:hAnsiTheme="majorBidi" w:cstheme="majorBidi"/>
          <w:sz w:val="24"/>
          <w:szCs w:val="24"/>
        </w:rPr>
        <w:t>Kedudukan</w:t>
      </w:r>
      <w:proofErr w:type="spellEnd"/>
      <w:r w:rsidRPr="00CD01DB">
        <w:rPr>
          <w:rFonts w:asciiTheme="majorBidi" w:eastAsia="Times New Roman" w:hAnsiTheme="majorBidi" w:cstheme="majorBidi"/>
          <w:sz w:val="24"/>
          <w:szCs w:val="24"/>
        </w:rPr>
        <w:t xml:space="preserve"> </w:t>
      </w:r>
      <w:proofErr w:type="spellStart"/>
      <w:r w:rsidRPr="00CD01DB">
        <w:rPr>
          <w:rFonts w:asciiTheme="majorBidi" w:eastAsia="Times New Roman" w:hAnsiTheme="majorBidi" w:cstheme="majorBidi"/>
          <w:sz w:val="24"/>
          <w:szCs w:val="24"/>
        </w:rPr>
        <w:t>Eigendom</w:t>
      </w:r>
      <w:proofErr w:type="spellEnd"/>
      <w:r w:rsidRPr="00CD01DB">
        <w:rPr>
          <w:rFonts w:asciiTheme="majorBidi" w:eastAsia="Times New Roman" w:hAnsiTheme="majorBidi" w:cstheme="majorBidi"/>
          <w:sz w:val="24"/>
          <w:szCs w:val="24"/>
        </w:rPr>
        <w:t xml:space="preserve"> </w:t>
      </w:r>
      <w:proofErr w:type="spellStart"/>
      <w:r w:rsidRPr="00CD01DB">
        <w:rPr>
          <w:rFonts w:asciiTheme="majorBidi" w:eastAsia="Times New Roman" w:hAnsiTheme="majorBidi" w:cstheme="majorBidi"/>
          <w:sz w:val="24"/>
          <w:szCs w:val="24"/>
        </w:rPr>
        <w:t>Verponding</w:t>
      </w:r>
      <w:proofErr w:type="spellEnd"/>
      <w:r w:rsidRPr="00CD01DB">
        <w:rPr>
          <w:rFonts w:asciiTheme="majorBidi" w:eastAsia="Times New Roman" w:hAnsiTheme="majorBidi" w:cstheme="majorBidi"/>
          <w:sz w:val="24"/>
          <w:szCs w:val="24"/>
        </w:rPr>
        <w:t xml:space="preserve"> Dalam Hukum </w:t>
      </w:r>
      <w:proofErr w:type="spellStart"/>
      <w:r w:rsidRPr="00CD01DB">
        <w:rPr>
          <w:rFonts w:asciiTheme="majorBidi" w:eastAsia="Times New Roman" w:hAnsiTheme="majorBidi" w:cstheme="majorBidi"/>
          <w:sz w:val="24"/>
          <w:szCs w:val="24"/>
        </w:rPr>
        <w:t>Pertanahan</w:t>
      </w:r>
      <w:proofErr w:type="spellEnd"/>
      <w:r w:rsidRPr="00CD01DB">
        <w:rPr>
          <w:rFonts w:asciiTheme="majorBidi" w:eastAsia="Times New Roman" w:hAnsiTheme="majorBidi" w:cstheme="majorBidi"/>
          <w:sz w:val="24"/>
          <w:szCs w:val="24"/>
        </w:rPr>
        <w:t xml:space="preserve"> di Indonesia," </w:t>
      </w:r>
      <w:proofErr w:type="spellStart"/>
      <w:r w:rsidRPr="00CD01DB">
        <w:rPr>
          <w:rFonts w:asciiTheme="majorBidi" w:eastAsia="Times New Roman" w:hAnsiTheme="majorBidi" w:cstheme="majorBidi"/>
          <w:sz w:val="24"/>
          <w:szCs w:val="24"/>
        </w:rPr>
        <w:t>Jurnal</w:t>
      </w:r>
      <w:proofErr w:type="spellEnd"/>
      <w:r w:rsidRPr="00CD01DB">
        <w:rPr>
          <w:rFonts w:asciiTheme="majorBidi" w:eastAsia="Times New Roman" w:hAnsiTheme="majorBidi" w:cstheme="majorBidi"/>
          <w:sz w:val="24"/>
          <w:szCs w:val="24"/>
        </w:rPr>
        <w:t xml:space="preserve"> Panorama Hukum, p. 15, 2019.</w:t>
      </w:r>
    </w:p>
    <w:p w14:paraId="20944E3D" w14:textId="77777777" w:rsidR="00CD01DB" w:rsidRPr="00CD01DB" w:rsidRDefault="00CD01DB" w:rsidP="00471F60">
      <w:pPr>
        <w:pStyle w:val="BodyText"/>
        <w:spacing w:line="276" w:lineRule="auto"/>
        <w:ind w:right="98" w:firstLine="0"/>
        <w:rPr>
          <w:bCs/>
          <w:sz w:val="24"/>
          <w:szCs w:val="24"/>
        </w:rPr>
      </w:pPr>
    </w:p>
    <w:sectPr w:rsidR="00CD01DB" w:rsidRPr="00CD01DB"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FE5C1" w14:textId="77777777" w:rsidR="00F33DC5" w:rsidRDefault="00F33DC5" w:rsidP="00E544C8">
      <w:r>
        <w:separator/>
      </w:r>
    </w:p>
  </w:endnote>
  <w:endnote w:type="continuationSeparator" w:id="0">
    <w:p w14:paraId="03E51842" w14:textId="77777777" w:rsidR="00F33DC5" w:rsidRDefault="00F33DC5"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1FAD" w14:textId="3CC0384F" w:rsidR="00751BB6" w:rsidRPr="00471F60" w:rsidRDefault="00751BB6"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6D4EDB">
      <w:rPr>
        <w:noProof/>
      </w:rPr>
      <w:t>6</w:t>
    </w:r>
    <w:r>
      <w:fldChar w:fldCharType="end"/>
    </w:r>
    <w:r>
      <w:t xml:space="preserve">  </w:t>
    </w:r>
    <w:r w:rsidR="0057263C">
      <w:tab/>
    </w:r>
    <w:r w:rsidR="0057263C">
      <w:tab/>
    </w:r>
    <w:r w:rsidR="0057263C">
      <w:tab/>
    </w:r>
    <w:r w:rsidR="0057263C">
      <w:tab/>
    </w:r>
    <w:r w:rsidR="0057263C">
      <w:tab/>
    </w:r>
    <w:r w:rsidR="0057263C">
      <w:tab/>
    </w:r>
    <w:r w:rsidR="0057263C">
      <w:tab/>
      <w:t xml:space="preserve">   </w:t>
    </w:r>
    <w:r w:rsidR="00AA7648">
      <w:tab/>
    </w:r>
    <w:r w:rsidR="0057263C">
      <w:t xml:space="preserve">     </w:t>
    </w:r>
    <w:r w:rsidR="00AA7648">
      <w:tab/>
    </w:r>
    <w:r w:rsidR="0057263C" w:rsidRPr="00471F60">
      <w:rPr>
        <w:rFonts w:asciiTheme="majorBidi" w:hAnsiTheme="majorBidi" w:cstheme="majorBidi"/>
        <w:b/>
        <w:bCs/>
        <w:i/>
        <w:iCs/>
      </w:rPr>
      <w:t>Vol., No.</w:t>
    </w:r>
    <w:r w:rsidR="00AA7648" w:rsidRPr="00471F60">
      <w:rPr>
        <w:rFonts w:asciiTheme="majorBidi" w:hAnsiTheme="majorBidi" w:cstheme="majorBidi"/>
        <w:b/>
        <w:bCs/>
      </w:rPr>
      <w:t xml:space="preserve">, </w:t>
    </w:r>
    <w:r w:rsidR="00471F60">
      <w:rPr>
        <w:rFonts w:asciiTheme="majorBidi" w:hAnsiTheme="majorBidi" w:cstheme="majorBidi"/>
        <w:b/>
        <w:bCs/>
        <w:i/>
        <w:iCs/>
      </w:rPr>
      <w:t>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11197CE3" w:rsidR="00751BB6" w:rsidRPr="00AA7648" w:rsidRDefault="00751BB6"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6D4EDB">
      <w:rPr>
        <w:noProof/>
      </w:rPr>
      <w:t>5</w:t>
    </w:r>
    <w:r>
      <w:fldChar w:fldCharType="end"/>
    </w:r>
    <w:r>
      <w:t xml:space="preserve">                   </w:t>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t xml:space="preserve">        </w:t>
    </w:r>
    <w:r w:rsidR="00AA7648">
      <w:rPr>
        <w:rFonts w:ascii="Book Antiqua" w:hAnsi="Book Antiqua"/>
        <w:i/>
        <w:iCs/>
      </w:rPr>
      <w:tab/>
    </w:r>
    <w:r w:rsidR="00AA7648">
      <w:rPr>
        <w:rFonts w:ascii="Book Antiqua" w:hAnsi="Book Antiqua"/>
        <w:i/>
        <w:iCs/>
      </w:rPr>
      <w:tab/>
    </w:r>
    <w:r w:rsidR="00471F60" w:rsidRPr="00471F60">
      <w:rPr>
        <w:rFonts w:asciiTheme="majorBidi" w:hAnsiTheme="majorBidi" w:cstheme="majorBidi"/>
        <w:b/>
        <w:bCs/>
        <w:i/>
        <w:iCs/>
      </w:rPr>
      <w:t>Vol., No.</w:t>
    </w:r>
    <w:r w:rsidR="00471F60" w:rsidRPr="00471F60">
      <w:rPr>
        <w:rFonts w:asciiTheme="majorBidi" w:hAnsiTheme="majorBidi" w:cstheme="majorBidi"/>
        <w:b/>
        <w:bCs/>
      </w:rPr>
      <w:t xml:space="preserve">, </w:t>
    </w:r>
    <w:r w:rsidR="00471F60">
      <w:rPr>
        <w:rFonts w:asciiTheme="majorBidi" w:hAnsiTheme="majorBidi" w:cstheme="majorBidi"/>
        <w:b/>
        <w:bCs/>
        <w:i/>
        <w:iCs/>
      </w:rPr>
      <w:t>Month 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00FA6D77" w:rsidRPr="00FA6D77">
          <w:rPr>
            <w:noProof/>
            <w:sz w:val="24"/>
            <w:szCs w:val="24"/>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19F5D" w14:textId="77777777" w:rsidR="00F33DC5" w:rsidRDefault="00F33DC5" w:rsidP="00E544C8">
      <w:r>
        <w:separator/>
      </w:r>
    </w:p>
  </w:footnote>
  <w:footnote w:type="continuationSeparator" w:id="0">
    <w:p w14:paraId="224637F3" w14:textId="77777777" w:rsidR="00F33DC5" w:rsidRDefault="00F33DC5"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8432E" w14:textId="77777777" w:rsidR="00AA7648" w:rsidRDefault="00AA7648" w:rsidP="00F62874">
    <w:pPr>
      <w:pStyle w:val="Footer"/>
      <w:jc w:val="both"/>
      <w:rPr>
        <w:rFonts w:ascii="Book Antiqua" w:hAnsi="Book Antiqua"/>
        <w:i/>
        <w:iCs/>
      </w:rPr>
    </w:pPr>
  </w:p>
  <w:p w14:paraId="1495F4E7" w14:textId="77777777" w:rsidR="00CD01DB" w:rsidRPr="00CD01DB" w:rsidRDefault="00CD01DB" w:rsidP="00CD01DB">
    <w:pPr>
      <w:pStyle w:val="Footer"/>
      <w:jc w:val="both"/>
      <w:rPr>
        <w:rFonts w:asciiTheme="majorBidi" w:hAnsiTheme="majorBidi" w:cstheme="majorBidi"/>
        <w:b/>
        <w:bCs/>
        <w:i/>
        <w:iCs/>
        <w:lang w:val="en-ID"/>
      </w:rPr>
    </w:pPr>
    <w:r w:rsidRPr="00CD01DB">
      <w:rPr>
        <w:rFonts w:asciiTheme="majorBidi" w:hAnsiTheme="majorBidi" w:cstheme="majorBidi"/>
        <w:b/>
        <w:bCs/>
        <w:i/>
        <w:iCs/>
        <w:lang w:val="en-ID"/>
      </w:rPr>
      <w:t xml:space="preserve">Legal Protection of </w:t>
    </w:r>
    <w:proofErr w:type="spellStart"/>
    <w:r w:rsidRPr="00CD01DB">
      <w:rPr>
        <w:rFonts w:asciiTheme="majorBidi" w:hAnsiTheme="majorBidi" w:cstheme="majorBidi"/>
        <w:b/>
        <w:bCs/>
        <w:i/>
        <w:iCs/>
        <w:lang w:val="en-ID"/>
      </w:rPr>
      <w:t>Eigentumsverponding</w:t>
    </w:r>
    <w:proofErr w:type="spellEnd"/>
    <w:r w:rsidRPr="00CD01DB">
      <w:rPr>
        <w:rFonts w:asciiTheme="majorBidi" w:hAnsiTheme="majorBidi" w:cstheme="majorBidi"/>
        <w:b/>
        <w:bCs/>
        <w:i/>
        <w:iCs/>
        <w:lang w:val="en-ID"/>
      </w:rPr>
      <w:t xml:space="preserve"> Deeds in the Context of Inheritance Rights</w:t>
    </w:r>
  </w:p>
  <w:p w14:paraId="77282208" w14:textId="6D09B609" w:rsidR="00E56BE0" w:rsidRPr="00CD01DB" w:rsidRDefault="00E56BE0" w:rsidP="00D55F49">
    <w:pPr>
      <w:pStyle w:val="Footer"/>
      <w:jc w:val="both"/>
      <w:rPr>
        <w:rFonts w:asciiTheme="majorBidi" w:hAnsiTheme="majorBidi" w:cstheme="majorBidi"/>
        <w:b/>
        <w:bCs/>
        <w:i/>
        <w:iCs/>
        <w:lang w:val="en-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FCA49" w14:textId="77777777" w:rsidR="00AA7648" w:rsidRDefault="00AA7648" w:rsidP="00AA7648">
    <w:pPr>
      <w:ind w:right="969"/>
      <w:jc w:val="both"/>
      <w:rPr>
        <w:rFonts w:ascii="Book Antiqua" w:hAnsi="Book Antiqua"/>
        <w:i/>
        <w:iCs/>
      </w:rPr>
    </w:pPr>
  </w:p>
  <w:p w14:paraId="47D28930" w14:textId="77777777" w:rsidR="00CD01DB" w:rsidRPr="00CD01DB" w:rsidRDefault="00CD01DB" w:rsidP="00CD01DB">
    <w:pPr>
      <w:spacing w:line="276" w:lineRule="auto"/>
      <w:ind w:right="969"/>
      <w:jc w:val="both"/>
      <w:rPr>
        <w:rFonts w:asciiTheme="majorBidi" w:hAnsiTheme="majorBidi" w:cstheme="majorBidi"/>
        <w:b/>
        <w:bCs/>
        <w:i/>
        <w:iCs/>
        <w:sz w:val="18"/>
        <w:szCs w:val="18"/>
        <w:lang w:val="en-ID"/>
      </w:rPr>
    </w:pPr>
    <w:r w:rsidRPr="00CD01DB">
      <w:rPr>
        <w:rFonts w:asciiTheme="majorBidi" w:hAnsiTheme="majorBidi" w:cstheme="majorBidi"/>
        <w:b/>
        <w:bCs/>
        <w:i/>
        <w:iCs/>
        <w:sz w:val="18"/>
        <w:szCs w:val="18"/>
        <w:lang w:val="en-ID"/>
      </w:rPr>
      <w:t xml:space="preserve">Legal Protection of </w:t>
    </w:r>
    <w:proofErr w:type="spellStart"/>
    <w:r w:rsidRPr="00CD01DB">
      <w:rPr>
        <w:rFonts w:asciiTheme="majorBidi" w:hAnsiTheme="majorBidi" w:cstheme="majorBidi"/>
        <w:b/>
        <w:bCs/>
        <w:i/>
        <w:iCs/>
        <w:sz w:val="18"/>
        <w:szCs w:val="18"/>
        <w:lang w:val="en-ID"/>
      </w:rPr>
      <w:t>Eigentumsverponding</w:t>
    </w:r>
    <w:proofErr w:type="spellEnd"/>
    <w:r w:rsidRPr="00CD01DB">
      <w:rPr>
        <w:rFonts w:asciiTheme="majorBidi" w:hAnsiTheme="majorBidi" w:cstheme="majorBidi"/>
        <w:b/>
        <w:bCs/>
        <w:i/>
        <w:iCs/>
        <w:sz w:val="18"/>
        <w:szCs w:val="18"/>
        <w:lang w:val="en-ID"/>
      </w:rPr>
      <w:t xml:space="preserve"> Deeds in the Context of Inheritance Rights</w:t>
    </w:r>
  </w:p>
  <w:p w14:paraId="159B9C47" w14:textId="5ED90CF2" w:rsidR="00B57478" w:rsidRPr="00CD01DB" w:rsidRDefault="00B57478" w:rsidP="00CD01DB">
    <w:pPr>
      <w:spacing w:line="276" w:lineRule="auto"/>
      <w:ind w:right="969"/>
      <w:jc w:val="both"/>
      <w:rPr>
        <w:rFonts w:asciiTheme="majorBidi" w:hAnsiTheme="majorBidi" w:cstheme="majorBidi"/>
        <w:b/>
        <w:bCs/>
        <w:i/>
        <w:iCs/>
        <w:sz w:val="18"/>
        <w:szCs w:val="18"/>
        <w:lang w:val="en-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t xml:space="preserve">P-ISSN: </w:t>
    </w:r>
    <w:r w:rsidRPr="00377069">
      <w:tab/>
      <w:t xml:space="preserve">2827-9832 </w:t>
    </w:r>
  </w:p>
  <w:p w14:paraId="02045BB7" w14:textId="6E08F775" w:rsidR="008F7027" w:rsidRDefault="008F7027" w:rsidP="00712731">
    <w:pPr>
      <w:ind w:right="98"/>
      <w:jc w:val="right"/>
    </w:pPr>
    <w:r>
      <w:t>E-ISSN: 2828-335x</w:t>
    </w:r>
  </w:p>
  <w:p w14:paraId="405368E8" w14:textId="49092FDA" w:rsidR="00751BB6" w:rsidRPr="009135C5" w:rsidRDefault="00377069" w:rsidP="00712731">
    <w:pPr>
      <w:ind w:right="98"/>
      <w:jc w:val="right"/>
    </w:pPr>
    <w:r w:rsidRPr="00377069">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672"/>
    <w:multiLevelType w:val="hybridMultilevel"/>
    <w:tmpl w:val="C046EE1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01DA3319"/>
    <w:multiLevelType w:val="hybridMultilevel"/>
    <w:tmpl w:val="F794847A"/>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 w15:restartNumberingAfterBreak="0">
    <w:nsid w:val="07B555BB"/>
    <w:multiLevelType w:val="hybridMultilevel"/>
    <w:tmpl w:val="45346BB2"/>
    <w:lvl w:ilvl="0" w:tplc="E8EC21E2">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15:restartNumberingAfterBreak="0">
    <w:nsid w:val="082E723F"/>
    <w:multiLevelType w:val="hybridMultilevel"/>
    <w:tmpl w:val="42341F62"/>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 w15:restartNumberingAfterBreak="0">
    <w:nsid w:val="099F4091"/>
    <w:multiLevelType w:val="hybridMultilevel"/>
    <w:tmpl w:val="7E8C4CC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9D67CBD"/>
    <w:multiLevelType w:val="hybridMultilevel"/>
    <w:tmpl w:val="C7326042"/>
    <w:lvl w:ilvl="0" w:tplc="0409000F">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6" w15:restartNumberingAfterBreak="0">
    <w:nsid w:val="0A631E71"/>
    <w:multiLevelType w:val="hybridMultilevel"/>
    <w:tmpl w:val="21287404"/>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7" w15:restartNumberingAfterBreak="0">
    <w:nsid w:val="0B1547A5"/>
    <w:multiLevelType w:val="hybridMultilevel"/>
    <w:tmpl w:val="B8366B30"/>
    <w:lvl w:ilvl="0" w:tplc="04090019">
      <w:start w:val="1"/>
      <w:numFmt w:val="lowerLetter"/>
      <w:lvlText w:val="%1."/>
      <w:lvlJc w:val="left"/>
      <w:pPr>
        <w:ind w:left="1009" w:hanging="360"/>
      </w:pPr>
    </w:lvl>
    <w:lvl w:ilvl="1" w:tplc="7C484424">
      <w:numFmt w:val="bullet"/>
      <w:lvlText w:val="•"/>
      <w:lvlJc w:val="left"/>
      <w:pPr>
        <w:ind w:left="1804" w:hanging="435"/>
      </w:pPr>
      <w:rPr>
        <w:rFonts w:ascii="Times New Roman" w:eastAsia="Times New Roman" w:hAnsi="Times New Roman" w:cs="Times New Roman" w:hint="default"/>
      </w:r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8" w15:restartNumberingAfterBreak="0">
    <w:nsid w:val="0B5D12B0"/>
    <w:multiLevelType w:val="hybridMultilevel"/>
    <w:tmpl w:val="3D9A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3765B"/>
    <w:multiLevelType w:val="hybridMultilevel"/>
    <w:tmpl w:val="CA244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E1CCF"/>
    <w:multiLevelType w:val="hybridMultilevel"/>
    <w:tmpl w:val="EF9A7AE0"/>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1"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D9506C1"/>
    <w:multiLevelType w:val="hybridMultilevel"/>
    <w:tmpl w:val="8C4A952C"/>
    <w:lvl w:ilvl="0" w:tplc="04090011">
      <w:start w:val="1"/>
      <w:numFmt w:val="decimal"/>
      <w:lvlText w:val="%1)"/>
      <w:lvlJc w:val="left"/>
      <w:pPr>
        <w:ind w:left="2089" w:hanging="360"/>
      </w:pPr>
    </w:lvl>
    <w:lvl w:ilvl="1" w:tplc="04090019">
      <w:start w:val="1"/>
      <w:numFmt w:val="lowerLetter"/>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13" w15:restartNumberingAfterBreak="0">
    <w:nsid w:val="20B17006"/>
    <w:multiLevelType w:val="hybridMultilevel"/>
    <w:tmpl w:val="BE9037E4"/>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 w15:restartNumberingAfterBreak="0">
    <w:nsid w:val="27151246"/>
    <w:multiLevelType w:val="hybridMultilevel"/>
    <w:tmpl w:val="7748A66E"/>
    <w:lvl w:ilvl="0" w:tplc="04090011">
      <w:start w:val="1"/>
      <w:numFmt w:val="decimal"/>
      <w:lvlText w:val="%1)"/>
      <w:lvlJc w:val="left"/>
      <w:pPr>
        <w:ind w:left="919" w:hanging="360"/>
      </w:pPr>
    </w:lvl>
    <w:lvl w:ilvl="1" w:tplc="04090019" w:tentative="1">
      <w:start w:val="1"/>
      <w:numFmt w:val="lowerLetter"/>
      <w:lvlText w:val="%2."/>
      <w:lvlJc w:val="left"/>
      <w:pPr>
        <w:ind w:left="1639" w:hanging="360"/>
      </w:pPr>
    </w:lvl>
    <w:lvl w:ilvl="2" w:tplc="04090017">
      <w:start w:val="1"/>
      <w:numFmt w:val="lowerLetter"/>
      <w:lvlText w:val="%3)"/>
      <w:lvlJc w:val="lef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5" w15:restartNumberingAfterBreak="0">
    <w:nsid w:val="272D1851"/>
    <w:multiLevelType w:val="multilevel"/>
    <w:tmpl w:val="2284A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AF0ED8"/>
    <w:multiLevelType w:val="hybridMultilevel"/>
    <w:tmpl w:val="6A188F44"/>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7">
      <w:start w:val="1"/>
      <w:numFmt w:val="lowerLetter"/>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7" w15:restartNumberingAfterBreak="0">
    <w:nsid w:val="2D391524"/>
    <w:multiLevelType w:val="hybridMultilevel"/>
    <w:tmpl w:val="826629AE"/>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8" w15:restartNumberingAfterBreak="0">
    <w:nsid w:val="318910C5"/>
    <w:multiLevelType w:val="hybridMultilevel"/>
    <w:tmpl w:val="2892C48A"/>
    <w:lvl w:ilvl="0" w:tplc="04090011">
      <w:start w:val="1"/>
      <w:numFmt w:val="decimal"/>
      <w:lvlText w:val="%1)"/>
      <w:lvlJc w:val="left"/>
      <w:pPr>
        <w:ind w:left="2089" w:hanging="360"/>
      </w:pPr>
    </w:lvl>
    <w:lvl w:ilvl="1" w:tplc="04090011">
      <w:start w:val="1"/>
      <w:numFmt w:val="decimal"/>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19"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9160C6"/>
    <w:multiLevelType w:val="hybridMultilevel"/>
    <w:tmpl w:val="CF847574"/>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1"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A8F51D3"/>
    <w:multiLevelType w:val="hybridMultilevel"/>
    <w:tmpl w:val="8836EB16"/>
    <w:lvl w:ilvl="0" w:tplc="2B445190">
      <w:start w:val="2"/>
      <w:numFmt w:val="decimal"/>
      <w:lvlText w:val="%1)"/>
      <w:lvlJc w:val="left"/>
      <w:pPr>
        <w:ind w:left="17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4"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E4273F"/>
    <w:multiLevelType w:val="hybridMultilevel"/>
    <w:tmpl w:val="92B01074"/>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6" w15:restartNumberingAfterBreak="0">
    <w:nsid w:val="3EEA5B77"/>
    <w:multiLevelType w:val="hybridMultilevel"/>
    <w:tmpl w:val="78503A4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7">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4152271C"/>
    <w:multiLevelType w:val="hybridMultilevel"/>
    <w:tmpl w:val="5184A15A"/>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8"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15:restartNumberingAfterBreak="0">
    <w:nsid w:val="41B8670D"/>
    <w:multiLevelType w:val="hybridMultilevel"/>
    <w:tmpl w:val="E7CAD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15:restartNumberingAfterBreak="0">
    <w:nsid w:val="4EDB7A82"/>
    <w:multiLevelType w:val="hybridMultilevel"/>
    <w:tmpl w:val="880EEE34"/>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4" w15:restartNumberingAfterBreak="0">
    <w:nsid w:val="4FD14809"/>
    <w:multiLevelType w:val="hybridMultilevel"/>
    <w:tmpl w:val="8924C75A"/>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5" w15:restartNumberingAfterBreak="0">
    <w:nsid w:val="504B054B"/>
    <w:multiLevelType w:val="hybridMultilevel"/>
    <w:tmpl w:val="8C10A860"/>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6" w15:restartNumberingAfterBreak="0">
    <w:nsid w:val="50D825B7"/>
    <w:multiLevelType w:val="hybridMultilevel"/>
    <w:tmpl w:val="230E3672"/>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15:restartNumberingAfterBreak="0">
    <w:nsid w:val="58840A89"/>
    <w:multiLevelType w:val="hybridMultilevel"/>
    <w:tmpl w:val="95EE5BBA"/>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7">
      <w:start w:val="1"/>
      <w:numFmt w:val="lowerLetter"/>
      <w:lvlText w:val="%3)"/>
      <w:lvlJc w:val="lef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8"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D0608E0"/>
    <w:multiLevelType w:val="hybridMultilevel"/>
    <w:tmpl w:val="492EEA80"/>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0" w15:restartNumberingAfterBreak="0">
    <w:nsid w:val="5DF67210"/>
    <w:multiLevelType w:val="hybridMultilevel"/>
    <w:tmpl w:val="48901DD4"/>
    <w:lvl w:ilvl="0" w:tplc="0409000F">
      <w:start w:val="1"/>
      <w:numFmt w:val="decimal"/>
      <w:lvlText w:val="%1."/>
      <w:lvlJc w:val="left"/>
      <w:pPr>
        <w:ind w:left="1009" w:hanging="360"/>
      </w:pPr>
    </w:lvl>
    <w:lvl w:ilvl="1" w:tplc="04090011">
      <w:start w:val="1"/>
      <w:numFmt w:val="decimal"/>
      <w:lvlText w:val="%2)"/>
      <w:lvlJc w:val="left"/>
      <w:pPr>
        <w:ind w:left="1729" w:hanging="360"/>
      </w:pPr>
    </w:lvl>
    <w:lvl w:ilvl="2" w:tplc="BFC451AE">
      <w:numFmt w:val="bullet"/>
      <w:lvlText w:val="•"/>
      <w:lvlJc w:val="left"/>
      <w:pPr>
        <w:ind w:left="2704" w:hanging="435"/>
      </w:pPr>
      <w:rPr>
        <w:rFonts w:ascii="Times New Roman" w:eastAsia="Times New Roman" w:hAnsi="Times New Roman" w:cs="Times New Roman" w:hint="default"/>
      </w:r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1" w15:restartNumberingAfterBreak="0">
    <w:nsid w:val="673F2F6A"/>
    <w:multiLevelType w:val="hybridMultilevel"/>
    <w:tmpl w:val="5638104C"/>
    <w:lvl w:ilvl="0" w:tplc="04090011">
      <w:start w:val="1"/>
      <w:numFmt w:val="decimal"/>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42" w15:restartNumberingAfterBreak="0">
    <w:nsid w:val="69D553F4"/>
    <w:multiLevelType w:val="hybridMultilevel"/>
    <w:tmpl w:val="03B6CDF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3" w15:restartNumberingAfterBreak="0">
    <w:nsid w:val="6A871975"/>
    <w:multiLevelType w:val="hybridMultilevel"/>
    <w:tmpl w:val="B85C1EE6"/>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4" w15:restartNumberingAfterBreak="0">
    <w:nsid w:val="6B1B2DBE"/>
    <w:multiLevelType w:val="hybridMultilevel"/>
    <w:tmpl w:val="08863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210B63"/>
    <w:multiLevelType w:val="hybridMultilevel"/>
    <w:tmpl w:val="0C545F32"/>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6" w15:restartNumberingAfterBreak="0">
    <w:nsid w:val="6D2D2E68"/>
    <w:multiLevelType w:val="hybridMultilevel"/>
    <w:tmpl w:val="07385B6C"/>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9">
      <w:start w:val="1"/>
      <w:numFmt w:val="lowerLetter"/>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7" w15:restartNumberingAfterBreak="0">
    <w:nsid w:val="6EBE3AAE"/>
    <w:multiLevelType w:val="hybridMultilevel"/>
    <w:tmpl w:val="BD46ADF6"/>
    <w:lvl w:ilvl="0" w:tplc="04090017">
      <w:start w:val="1"/>
      <w:numFmt w:val="lowerLetter"/>
      <w:lvlText w:val="%1)"/>
      <w:lvlJc w:val="left"/>
      <w:pPr>
        <w:ind w:left="919" w:hanging="360"/>
      </w:pPr>
    </w:lvl>
    <w:lvl w:ilvl="1" w:tplc="04090019" w:tentative="1">
      <w:start w:val="1"/>
      <w:numFmt w:val="lowerLetter"/>
      <w:lvlText w:val="%2."/>
      <w:lvlJc w:val="left"/>
      <w:pPr>
        <w:ind w:left="1639" w:hanging="360"/>
      </w:pPr>
    </w:lvl>
    <w:lvl w:ilvl="2" w:tplc="04090017">
      <w:start w:val="1"/>
      <w:numFmt w:val="lowerLetter"/>
      <w:lvlText w:val="%3)"/>
      <w:lvlJc w:val="lef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8" w15:restartNumberingAfterBreak="0">
    <w:nsid w:val="6F9E4247"/>
    <w:multiLevelType w:val="hybridMultilevel"/>
    <w:tmpl w:val="D56A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B937F4"/>
    <w:multiLevelType w:val="hybridMultilevel"/>
    <w:tmpl w:val="BA700108"/>
    <w:lvl w:ilvl="0" w:tplc="04090011">
      <w:start w:val="1"/>
      <w:numFmt w:val="decimal"/>
      <w:lvlText w:val="%1)"/>
      <w:lvlJc w:val="left"/>
      <w:pPr>
        <w:ind w:left="919" w:hanging="360"/>
      </w:pPr>
    </w:lvl>
    <w:lvl w:ilvl="1" w:tplc="04090019" w:tentative="1">
      <w:start w:val="1"/>
      <w:numFmt w:val="lowerLetter"/>
      <w:lvlText w:val="%2."/>
      <w:lvlJc w:val="left"/>
      <w:pPr>
        <w:ind w:left="1639" w:hanging="360"/>
      </w:pPr>
    </w:lvl>
    <w:lvl w:ilvl="2" w:tplc="0409001B">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50" w15:restartNumberingAfterBreak="0">
    <w:nsid w:val="76E460EC"/>
    <w:multiLevelType w:val="hybridMultilevel"/>
    <w:tmpl w:val="22486982"/>
    <w:lvl w:ilvl="0" w:tplc="04090017">
      <w:start w:val="1"/>
      <w:numFmt w:val="lowerLetter"/>
      <w:lvlText w:val="%1)"/>
      <w:lvlJc w:val="left"/>
      <w:pPr>
        <w:ind w:left="919" w:hanging="360"/>
      </w:pPr>
    </w:lvl>
    <w:lvl w:ilvl="1" w:tplc="04090019" w:tentative="1">
      <w:start w:val="1"/>
      <w:numFmt w:val="lowerLetter"/>
      <w:lvlText w:val="%2."/>
      <w:lvlJc w:val="left"/>
      <w:pPr>
        <w:ind w:left="1639" w:hanging="360"/>
      </w:pPr>
    </w:lvl>
    <w:lvl w:ilvl="2" w:tplc="0409001B">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51" w15:restartNumberingAfterBreak="0">
    <w:nsid w:val="7C1E5394"/>
    <w:multiLevelType w:val="hybridMultilevel"/>
    <w:tmpl w:val="1CF6532E"/>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num w:numId="1" w16cid:durableId="268509867">
    <w:abstractNumId w:val="28"/>
  </w:num>
  <w:num w:numId="2" w16cid:durableId="138697541">
    <w:abstractNumId w:val="31"/>
  </w:num>
  <w:num w:numId="3" w16cid:durableId="1949660888">
    <w:abstractNumId w:val="32"/>
  </w:num>
  <w:num w:numId="4" w16cid:durableId="1967153052">
    <w:abstractNumId w:val="23"/>
  </w:num>
  <w:num w:numId="5" w16cid:durableId="1382099609">
    <w:abstractNumId w:val="24"/>
  </w:num>
  <w:num w:numId="6" w16cid:durableId="1921597410">
    <w:abstractNumId w:val="19"/>
  </w:num>
  <w:num w:numId="7" w16cid:durableId="256183244">
    <w:abstractNumId w:val="21"/>
  </w:num>
  <w:num w:numId="8" w16cid:durableId="1444810389">
    <w:abstractNumId w:val="38"/>
  </w:num>
  <w:num w:numId="9" w16cid:durableId="1596746798">
    <w:abstractNumId w:val="11"/>
  </w:num>
  <w:num w:numId="10" w16cid:durableId="58210717">
    <w:abstractNumId w:val="30"/>
  </w:num>
  <w:num w:numId="11" w16cid:durableId="641275043">
    <w:abstractNumId w:val="7"/>
  </w:num>
  <w:num w:numId="12" w16cid:durableId="1648704235">
    <w:abstractNumId w:val="5"/>
  </w:num>
  <w:num w:numId="13" w16cid:durableId="2103332863">
    <w:abstractNumId w:val="40"/>
  </w:num>
  <w:num w:numId="14" w16cid:durableId="1990740493">
    <w:abstractNumId w:val="22"/>
  </w:num>
  <w:num w:numId="15" w16cid:durableId="911894520">
    <w:abstractNumId w:val="17"/>
  </w:num>
  <w:num w:numId="16" w16cid:durableId="1352299354">
    <w:abstractNumId w:val="20"/>
  </w:num>
  <w:num w:numId="17" w16cid:durableId="2019116446">
    <w:abstractNumId w:val="12"/>
  </w:num>
  <w:num w:numId="18" w16cid:durableId="524094818">
    <w:abstractNumId w:val="18"/>
  </w:num>
  <w:num w:numId="19" w16cid:durableId="510531094">
    <w:abstractNumId w:val="10"/>
  </w:num>
  <w:num w:numId="20" w16cid:durableId="97213818">
    <w:abstractNumId w:val="6"/>
  </w:num>
  <w:num w:numId="21" w16cid:durableId="836456275">
    <w:abstractNumId w:val="34"/>
  </w:num>
  <w:num w:numId="22" w16cid:durableId="219440947">
    <w:abstractNumId w:val="3"/>
  </w:num>
  <w:num w:numId="23" w16cid:durableId="1265112329">
    <w:abstractNumId w:val="1"/>
  </w:num>
  <w:num w:numId="24" w16cid:durableId="426997139">
    <w:abstractNumId w:val="41"/>
  </w:num>
  <w:num w:numId="25" w16cid:durableId="556819174">
    <w:abstractNumId w:val="27"/>
  </w:num>
  <w:num w:numId="26" w16cid:durableId="1268349437">
    <w:abstractNumId w:val="43"/>
  </w:num>
  <w:num w:numId="27" w16cid:durableId="1167789996">
    <w:abstractNumId w:val="25"/>
  </w:num>
  <w:num w:numId="28" w16cid:durableId="557476346">
    <w:abstractNumId w:val="39"/>
  </w:num>
  <w:num w:numId="29" w16cid:durableId="2064403122">
    <w:abstractNumId w:val="45"/>
  </w:num>
  <w:num w:numId="30" w16cid:durableId="949624777">
    <w:abstractNumId w:val="35"/>
  </w:num>
  <w:num w:numId="31" w16cid:durableId="658382354">
    <w:abstractNumId w:val="49"/>
  </w:num>
  <w:num w:numId="32" w16cid:durableId="1814062915">
    <w:abstractNumId w:val="14"/>
  </w:num>
  <w:num w:numId="33" w16cid:durableId="1587154662">
    <w:abstractNumId w:val="51"/>
  </w:num>
  <w:num w:numId="34" w16cid:durableId="1606496291">
    <w:abstractNumId w:val="46"/>
  </w:num>
  <w:num w:numId="35" w16cid:durableId="1911770433">
    <w:abstractNumId w:val="16"/>
  </w:num>
  <w:num w:numId="36" w16cid:durableId="798378122">
    <w:abstractNumId w:val="2"/>
  </w:num>
  <w:num w:numId="37" w16cid:durableId="503593858">
    <w:abstractNumId w:val="50"/>
  </w:num>
  <w:num w:numId="38" w16cid:durableId="1614752738">
    <w:abstractNumId w:val="47"/>
  </w:num>
  <w:num w:numId="39" w16cid:durableId="1759403952">
    <w:abstractNumId w:val="4"/>
  </w:num>
  <w:num w:numId="40" w16cid:durableId="1797521599">
    <w:abstractNumId w:val="26"/>
  </w:num>
  <w:num w:numId="41" w16cid:durableId="696584538">
    <w:abstractNumId w:val="36"/>
  </w:num>
  <w:num w:numId="42" w16cid:durableId="1329360810">
    <w:abstractNumId w:val="37"/>
  </w:num>
  <w:num w:numId="43" w16cid:durableId="333268241">
    <w:abstractNumId w:val="44"/>
  </w:num>
  <w:num w:numId="44" w16cid:durableId="1166751635">
    <w:abstractNumId w:val="29"/>
  </w:num>
  <w:num w:numId="45" w16cid:durableId="1500846100">
    <w:abstractNumId w:val="48"/>
  </w:num>
  <w:num w:numId="46" w16cid:durableId="551815988">
    <w:abstractNumId w:val="9"/>
  </w:num>
  <w:num w:numId="47" w16cid:durableId="1820540258">
    <w:abstractNumId w:val="8"/>
  </w:num>
  <w:num w:numId="48" w16cid:durableId="4822348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82059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1457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2561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375747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0150F"/>
    <w:rsid w:val="00004719"/>
    <w:rsid w:val="000122DE"/>
    <w:rsid w:val="000137E8"/>
    <w:rsid w:val="000212E4"/>
    <w:rsid w:val="00021ECF"/>
    <w:rsid w:val="00026CD6"/>
    <w:rsid w:val="000319F8"/>
    <w:rsid w:val="00037746"/>
    <w:rsid w:val="0004450B"/>
    <w:rsid w:val="000522CD"/>
    <w:rsid w:val="00052992"/>
    <w:rsid w:val="00064C39"/>
    <w:rsid w:val="0006591F"/>
    <w:rsid w:val="00072C06"/>
    <w:rsid w:val="00073895"/>
    <w:rsid w:val="000753FA"/>
    <w:rsid w:val="000760CA"/>
    <w:rsid w:val="00082800"/>
    <w:rsid w:val="00086A88"/>
    <w:rsid w:val="000A1366"/>
    <w:rsid w:val="000A2E93"/>
    <w:rsid w:val="000D4BE1"/>
    <w:rsid w:val="000E3594"/>
    <w:rsid w:val="000F55CD"/>
    <w:rsid w:val="00112A59"/>
    <w:rsid w:val="00113374"/>
    <w:rsid w:val="00114D27"/>
    <w:rsid w:val="00126F46"/>
    <w:rsid w:val="0013321E"/>
    <w:rsid w:val="00136E00"/>
    <w:rsid w:val="001446E4"/>
    <w:rsid w:val="00155CE5"/>
    <w:rsid w:val="001616E1"/>
    <w:rsid w:val="0016402F"/>
    <w:rsid w:val="001912DB"/>
    <w:rsid w:val="0019137D"/>
    <w:rsid w:val="00197986"/>
    <w:rsid w:val="001A0AB9"/>
    <w:rsid w:val="001A2E09"/>
    <w:rsid w:val="001D607C"/>
    <w:rsid w:val="001F60BD"/>
    <w:rsid w:val="00204CDF"/>
    <w:rsid w:val="002059B3"/>
    <w:rsid w:val="0021726E"/>
    <w:rsid w:val="002644B3"/>
    <w:rsid w:val="00266CF4"/>
    <w:rsid w:val="00267441"/>
    <w:rsid w:val="00277B04"/>
    <w:rsid w:val="00277EE4"/>
    <w:rsid w:val="002842EE"/>
    <w:rsid w:val="002A5511"/>
    <w:rsid w:val="002A71E5"/>
    <w:rsid w:val="002B0D43"/>
    <w:rsid w:val="002B2ACB"/>
    <w:rsid w:val="002B2E31"/>
    <w:rsid w:val="002D3293"/>
    <w:rsid w:val="002D61C2"/>
    <w:rsid w:val="002E271E"/>
    <w:rsid w:val="002E2D68"/>
    <w:rsid w:val="003008A0"/>
    <w:rsid w:val="003012D7"/>
    <w:rsid w:val="00306170"/>
    <w:rsid w:val="003214E8"/>
    <w:rsid w:val="00321E4A"/>
    <w:rsid w:val="00325795"/>
    <w:rsid w:val="0035191A"/>
    <w:rsid w:val="00373509"/>
    <w:rsid w:val="00374B93"/>
    <w:rsid w:val="00377069"/>
    <w:rsid w:val="00385559"/>
    <w:rsid w:val="003A6BFB"/>
    <w:rsid w:val="003C07DC"/>
    <w:rsid w:val="003C2FE2"/>
    <w:rsid w:val="003D3DEB"/>
    <w:rsid w:val="003E331D"/>
    <w:rsid w:val="003E3DC9"/>
    <w:rsid w:val="003E6328"/>
    <w:rsid w:val="003E7D85"/>
    <w:rsid w:val="003F5FE3"/>
    <w:rsid w:val="004003DB"/>
    <w:rsid w:val="00404452"/>
    <w:rsid w:val="0041008B"/>
    <w:rsid w:val="00422157"/>
    <w:rsid w:val="004257C7"/>
    <w:rsid w:val="00430929"/>
    <w:rsid w:val="00437D3B"/>
    <w:rsid w:val="00471F60"/>
    <w:rsid w:val="00475E04"/>
    <w:rsid w:val="00477FD2"/>
    <w:rsid w:val="004818D4"/>
    <w:rsid w:val="004825D1"/>
    <w:rsid w:val="004946E5"/>
    <w:rsid w:val="004A398B"/>
    <w:rsid w:val="004B6A6B"/>
    <w:rsid w:val="004C4C1F"/>
    <w:rsid w:val="004C66BB"/>
    <w:rsid w:val="004C72E0"/>
    <w:rsid w:val="004D6913"/>
    <w:rsid w:val="004D7383"/>
    <w:rsid w:val="004E24B0"/>
    <w:rsid w:val="004E73FB"/>
    <w:rsid w:val="004F46BD"/>
    <w:rsid w:val="0051613B"/>
    <w:rsid w:val="005302AB"/>
    <w:rsid w:val="00530AE0"/>
    <w:rsid w:val="00534AA0"/>
    <w:rsid w:val="0057263C"/>
    <w:rsid w:val="00582111"/>
    <w:rsid w:val="0058311C"/>
    <w:rsid w:val="0058739D"/>
    <w:rsid w:val="00595C2F"/>
    <w:rsid w:val="005B3C63"/>
    <w:rsid w:val="005B3D5E"/>
    <w:rsid w:val="005B70BF"/>
    <w:rsid w:val="005C6186"/>
    <w:rsid w:val="005C67EC"/>
    <w:rsid w:val="005D5A1F"/>
    <w:rsid w:val="0060561D"/>
    <w:rsid w:val="00637FBD"/>
    <w:rsid w:val="00651332"/>
    <w:rsid w:val="00653F65"/>
    <w:rsid w:val="006736AC"/>
    <w:rsid w:val="0067562B"/>
    <w:rsid w:val="0069049B"/>
    <w:rsid w:val="006A1D5D"/>
    <w:rsid w:val="006A1DB1"/>
    <w:rsid w:val="006A2366"/>
    <w:rsid w:val="006B0599"/>
    <w:rsid w:val="006B34E5"/>
    <w:rsid w:val="006C1748"/>
    <w:rsid w:val="006D231C"/>
    <w:rsid w:val="006D4EDB"/>
    <w:rsid w:val="006E3D15"/>
    <w:rsid w:val="006E5769"/>
    <w:rsid w:val="0070101C"/>
    <w:rsid w:val="00705C62"/>
    <w:rsid w:val="00712731"/>
    <w:rsid w:val="00713FD4"/>
    <w:rsid w:val="007201BC"/>
    <w:rsid w:val="00722636"/>
    <w:rsid w:val="00723A28"/>
    <w:rsid w:val="00725EC5"/>
    <w:rsid w:val="00740FA3"/>
    <w:rsid w:val="00744BE8"/>
    <w:rsid w:val="00751BB6"/>
    <w:rsid w:val="00751F00"/>
    <w:rsid w:val="0076609F"/>
    <w:rsid w:val="007712E9"/>
    <w:rsid w:val="00786253"/>
    <w:rsid w:val="007A4337"/>
    <w:rsid w:val="007B2B39"/>
    <w:rsid w:val="007B71B8"/>
    <w:rsid w:val="007C2974"/>
    <w:rsid w:val="007C4070"/>
    <w:rsid w:val="007E40DB"/>
    <w:rsid w:val="0080130E"/>
    <w:rsid w:val="00804C8F"/>
    <w:rsid w:val="00805971"/>
    <w:rsid w:val="00806B32"/>
    <w:rsid w:val="008120F1"/>
    <w:rsid w:val="008160C6"/>
    <w:rsid w:val="00816731"/>
    <w:rsid w:val="00820178"/>
    <w:rsid w:val="00834B34"/>
    <w:rsid w:val="00890A9B"/>
    <w:rsid w:val="008952CB"/>
    <w:rsid w:val="008964C8"/>
    <w:rsid w:val="008D45F9"/>
    <w:rsid w:val="008E0017"/>
    <w:rsid w:val="008E50D6"/>
    <w:rsid w:val="008E5FDE"/>
    <w:rsid w:val="008F4804"/>
    <w:rsid w:val="008F7027"/>
    <w:rsid w:val="00903478"/>
    <w:rsid w:val="00910907"/>
    <w:rsid w:val="009132DF"/>
    <w:rsid w:val="009135C5"/>
    <w:rsid w:val="009147B6"/>
    <w:rsid w:val="00922ED9"/>
    <w:rsid w:val="009261EE"/>
    <w:rsid w:val="009303AF"/>
    <w:rsid w:val="0093117A"/>
    <w:rsid w:val="00942EF6"/>
    <w:rsid w:val="00952C52"/>
    <w:rsid w:val="00956A50"/>
    <w:rsid w:val="009576A2"/>
    <w:rsid w:val="00965851"/>
    <w:rsid w:val="00976890"/>
    <w:rsid w:val="009A043D"/>
    <w:rsid w:val="009A0F2F"/>
    <w:rsid w:val="009B0234"/>
    <w:rsid w:val="009C5A4C"/>
    <w:rsid w:val="009C6F2B"/>
    <w:rsid w:val="009D2F76"/>
    <w:rsid w:val="009D6024"/>
    <w:rsid w:val="009D7996"/>
    <w:rsid w:val="009F0295"/>
    <w:rsid w:val="009F691D"/>
    <w:rsid w:val="00A101E5"/>
    <w:rsid w:val="00A11FF4"/>
    <w:rsid w:val="00A24FE2"/>
    <w:rsid w:val="00A26AAE"/>
    <w:rsid w:val="00A53689"/>
    <w:rsid w:val="00A737DD"/>
    <w:rsid w:val="00A828BB"/>
    <w:rsid w:val="00A868AB"/>
    <w:rsid w:val="00A86C77"/>
    <w:rsid w:val="00AA1CFB"/>
    <w:rsid w:val="00AA40C2"/>
    <w:rsid w:val="00AA7648"/>
    <w:rsid w:val="00AC5AB2"/>
    <w:rsid w:val="00AD13B2"/>
    <w:rsid w:val="00AD5793"/>
    <w:rsid w:val="00AD79B5"/>
    <w:rsid w:val="00AE0A8D"/>
    <w:rsid w:val="00AE33C7"/>
    <w:rsid w:val="00AE5FD9"/>
    <w:rsid w:val="00AF1EDC"/>
    <w:rsid w:val="00AF21D5"/>
    <w:rsid w:val="00AF5A03"/>
    <w:rsid w:val="00AF7B72"/>
    <w:rsid w:val="00B048E3"/>
    <w:rsid w:val="00B06381"/>
    <w:rsid w:val="00B11B33"/>
    <w:rsid w:val="00B1500A"/>
    <w:rsid w:val="00B2032B"/>
    <w:rsid w:val="00B23AF2"/>
    <w:rsid w:val="00B439E0"/>
    <w:rsid w:val="00B50800"/>
    <w:rsid w:val="00B53963"/>
    <w:rsid w:val="00B561B8"/>
    <w:rsid w:val="00B57478"/>
    <w:rsid w:val="00B62692"/>
    <w:rsid w:val="00B718A4"/>
    <w:rsid w:val="00B73E87"/>
    <w:rsid w:val="00B74808"/>
    <w:rsid w:val="00B85E11"/>
    <w:rsid w:val="00BA1B66"/>
    <w:rsid w:val="00BA763E"/>
    <w:rsid w:val="00BC0945"/>
    <w:rsid w:val="00BE321F"/>
    <w:rsid w:val="00BF1FEC"/>
    <w:rsid w:val="00C051FC"/>
    <w:rsid w:val="00C12599"/>
    <w:rsid w:val="00C23725"/>
    <w:rsid w:val="00C247F5"/>
    <w:rsid w:val="00C25F07"/>
    <w:rsid w:val="00C320BB"/>
    <w:rsid w:val="00C3506E"/>
    <w:rsid w:val="00C36BBD"/>
    <w:rsid w:val="00C405F9"/>
    <w:rsid w:val="00C42BE4"/>
    <w:rsid w:val="00C75335"/>
    <w:rsid w:val="00C926A1"/>
    <w:rsid w:val="00C96D3B"/>
    <w:rsid w:val="00CA4EF4"/>
    <w:rsid w:val="00CB19B9"/>
    <w:rsid w:val="00CB1B34"/>
    <w:rsid w:val="00CB2B14"/>
    <w:rsid w:val="00CC233D"/>
    <w:rsid w:val="00CC4B33"/>
    <w:rsid w:val="00CC79A4"/>
    <w:rsid w:val="00CD01DB"/>
    <w:rsid w:val="00CD5D5B"/>
    <w:rsid w:val="00CE1711"/>
    <w:rsid w:val="00CF48DF"/>
    <w:rsid w:val="00CF61A1"/>
    <w:rsid w:val="00CF7299"/>
    <w:rsid w:val="00D0416E"/>
    <w:rsid w:val="00D13261"/>
    <w:rsid w:val="00D25BDF"/>
    <w:rsid w:val="00D3506D"/>
    <w:rsid w:val="00D41DD5"/>
    <w:rsid w:val="00D55F49"/>
    <w:rsid w:val="00D60B6C"/>
    <w:rsid w:val="00D62C48"/>
    <w:rsid w:val="00D76369"/>
    <w:rsid w:val="00DA796D"/>
    <w:rsid w:val="00DB24BB"/>
    <w:rsid w:val="00DC6FDA"/>
    <w:rsid w:val="00DD150F"/>
    <w:rsid w:val="00DE6F70"/>
    <w:rsid w:val="00DF6458"/>
    <w:rsid w:val="00DF7ED3"/>
    <w:rsid w:val="00E0620C"/>
    <w:rsid w:val="00E07579"/>
    <w:rsid w:val="00E11AC3"/>
    <w:rsid w:val="00E201C3"/>
    <w:rsid w:val="00E2022E"/>
    <w:rsid w:val="00E20928"/>
    <w:rsid w:val="00E23F35"/>
    <w:rsid w:val="00E27010"/>
    <w:rsid w:val="00E370F1"/>
    <w:rsid w:val="00E4198F"/>
    <w:rsid w:val="00E51ED5"/>
    <w:rsid w:val="00E53507"/>
    <w:rsid w:val="00E544C8"/>
    <w:rsid w:val="00E54E5D"/>
    <w:rsid w:val="00E559B6"/>
    <w:rsid w:val="00E56BE0"/>
    <w:rsid w:val="00E57452"/>
    <w:rsid w:val="00E63798"/>
    <w:rsid w:val="00E65BA0"/>
    <w:rsid w:val="00E722C6"/>
    <w:rsid w:val="00E8018F"/>
    <w:rsid w:val="00E8337A"/>
    <w:rsid w:val="00E83867"/>
    <w:rsid w:val="00E91491"/>
    <w:rsid w:val="00E92670"/>
    <w:rsid w:val="00E968DD"/>
    <w:rsid w:val="00EA1B93"/>
    <w:rsid w:val="00EA5F8C"/>
    <w:rsid w:val="00EA6404"/>
    <w:rsid w:val="00EB204B"/>
    <w:rsid w:val="00EB6545"/>
    <w:rsid w:val="00EC73BC"/>
    <w:rsid w:val="00ED17FD"/>
    <w:rsid w:val="00ED615E"/>
    <w:rsid w:val="00EE1182"/>
    <w:rsid w:val="00EE64B2"/>
    <w:rsid w:val="00EF7F7C"/>
    <w:rsid w:val="00F01626"/>
    <w:rsid w:val="00F03D9B"/>
    <w:rsid w:val="00F05653"/>
    <w:rsid w:val="00F07B38"/>
    <w:rsid w:val="00F147BD"/>
    <w:rsid w:val="00F33DC5"/>
    <w:rsid w:val="00F54D77"/>
    <w:rsid w:val="00F557BE"/>
    <w:rsid w:val="00F62874"/>
    <w:rsid w:val="00F6321C"/>
    <w:rsid w:val="00F64C51"/>
    <w:rsid w:val="00F66428"/>
    <w:rsid w:val="00F667EF"/>
    <w:rsid w:val="00F72768"/>
    <w:rsid w:val="00F747A5"/>
    <w:rsid w:val="00F747C5"/>
    <w:rsid w:val="00F84227"/>
    <w:rsid w:val="00F84BCB"/>
    <w:rsid w:val="00F92CBB"/>
    <w:rsid w:val="00FA6D77"/>
    <w:rsid w:val="00FC1A5A"/>
    <w:rsid w:val="00FC5FA2"/>
    <w:rsid w:val="00FD0F87"/>
    <w:rsid w:val="00FD599C"/>
    <w:rsid w:val="00FE0C4E"/>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3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paragraph" w:styleId="Caption">
    <w:name w:val="caption"/>
    <w:basedOn w:val="Normal"/>
    <w:next w:val="Normal"/>
    <w:uiPriority w:val="35"/>
    <w:unhideWhenUsed/>
    <w:qFormat/>
    <w:rsid w:val="00F54D77"/>
    <w:pPr>
      <w:spacing w:after="200"/>
      <w:jc w:val="left"/>
    </w:pPr>
    <w:rPr>
      <w:rFonts w:asciiTheme="minorHAnsi" w:eastAsiaTheme="minorHAnsi" w:hAnsiTheme="minorHAnsi" w:cstheme="minorBidi"/>
      <w:i/>
      <w:iCs/>
      <w:color w:val="1F497D" w:themeColor="text2"/>
      <w:sz w:val="18"/>
      <w:szCs w:val="18"/>
      <w:lang w:val="en-ID"/>
    </w:rPr>
  </w:style>
  <w:style w:type="paragraph" w:styleId="NoSpacing">
    <w:name w:val="No Spacing"/>
    <w:uiPriority w:val="1"/>
    <w:qFormat/>
    <w:rsid w:val="00004719"/>
    <w:pPr>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321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inhartati42@gmail.com1"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reativecommons.org/licenses/by-sa/4.0/?ref=chooser-v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rboynurdin_ppslaw@yahoo.com2"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DE2C-B263-4632-B4B5-E11FA4DF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6446</Words>
  <Characters>36746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Fitria</dc:creator>
  <cp:lastModifiedBy>fitria yut</cp:lastModifiedBy>
  <cp:revision>2</cp:revision>
  <dcterms:created xsi:type="dcterms:W3CDTF">2024-11-21T03:30:00Z</dcterms:created>
  <dcterms:modified xsi:type="dcterms:W3CDTF">2024-11-21T03:30:00Z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7850337b-5d84-33a9-beef-aae67ee29eca</vt:lpwstr>
  </property>
  <property fmtid="{D5CDD505-2E9C-101B-9397-08002B2CF9AE}" pid="25" name="Mendeley Citation Style_1">
    <vt:lpwstr>http://www.zotero.org/styles/apa</vt:lpwstr>
  </property>
</Properties>
</file>