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6D104" w14:textId="77777777" w:rsidR="00E20928" w:rsidRPr="00E20928" w:rsidRDefault="00E20928" w:rsidP="00E20928">
      <w:pPr>
        <w:pStyle w:val="Afiliasi"/>
        <w:rPr>
          <w:rFonts w:eastAsia="MS Mincho"/>
          <w:b/>
          <w:bCs/>
          <w:sz w:val="28"/>
          <w:szCs w:val="28"/>
          <w:lang w:val="en-ID"/>
        </w:rPr>
      </w:pPr>
      <w:r w:rsidRPr="00E20928">
        <w:rPr>
          <w:rFonts w:eastAsia="MS Mincho"/>
          <w:b/>
          <w:bCs/>
          <w:sz w:val="28"/>
          <w:szCs w:val="28"/>
          <w:lang w:val="en-ID"/>
        </w:rPr>
        <w:t xml:space="preserve">Reconstruction of Abandonment and Site Restoration (ASR) Regulations to Create a Conducive Investment Climate in the Oil and Gas Sector </w:t>
      </w:r>
    </w:p>
    <w:p w14:paraId="18DEBAA1" w14:textId="77777777" w:rsidR="00C405F9" w:rsidRPr="003214E8" w:rsidRDefault="00C405F9" w:rsidP="00C405F9">
      <w:pPr>
        <w:pStyle w:val="Afiliasi"/>
        <w:spacing w:before="0" w:after="0"/>
        <w:rPr>
          <w:rFonts w:eastAsia="Times New Roman"/>
          <w:b/>
          <w:sz w:val="24"/>
          <w:szCs w:val="24"/>
          <w:lang w:val="en-ID"/>
        </w:rPr>
      </w:pPr>
    </w:p>
    <w:p w14:paraId="02D85ACB" w14:textId="77777777" w:rsidR="00E20928" w:rsidRPr="00E20928" w:rsidRDefault="00E20928" w:rsidP="00E20928">
      <w:pPr>
        <w:pStyle w:val="Afiliasi"/>
        <w:rPr>
          <w:rFonts w:eastAsia="Times New Roman"/>
          <w:b/>
          <w:sz w:val="24"/>
          <w:szCs w:val="24"/>
          <w:lang w:val="sk-SK"/>
        </w:rPr>
      </w:pPr>
      <w:r w:rsidRPr="00E20928">
        <w:rPr>
          <w:rFonts w:eastAsia="Times New Roman"/>
          <w:b/>
          <w:sz w:val="24"/>
          <w:szCs w:val="24"/>
          <w:lang w:val="sk-SK"/>
        </w:rPr>
        <w:t>Sumartono</w:t>
      </w:r>
      <w:r w:rsidRPr="00E20928">
        <w:rPr>
          <w:rFonts w:eastAsia="Times New Roman"/>
          <w:b/>
          <w:sz w:val="24"/>
          <w:szCs w:val="24"/>
          <w:vertAlign w:val="superscript"/>
          <w:lang w:val="sk-SK"/>
        </w:rPr>
        <w:t>1</w:t>
      </w:r>
      <w:r w:rsidRPr="00E20928">
        <w:rPr>
          <w:rFonts w:eastAsia="Times New Roman"/>
          <w:b/>
          <w:sz w:val="24"/>
          <w:szCs w:val="24"/>
          <w:lang w:val="sk-SK"/>
        </w:rPr>
        <w:t>,  Riswadi</w:t>
      </w:r>
      <w:r w:rsidRPr="00E20928">
        <w:rPr>
          <w:rFonts w:eastAsia="Times New Roman"/>
          <w:b/>
          <w:sz w:val="24"/>
          <w:szCs w:val="24"/>
          <w:vertAlign w:val="superscript"/>
          <w:lang w:val="sk-SK"/>
        </w:rPr>
        <w:t>2</w:t>
      </w:r>
    </w:p>
    <w:p w14:paraId="59312285" w14:textId="77777777" w:rsidR="003214E8" w:rsidRPr="00E20928" w:rsidRDefault="003214E8" w:rsidP="003214E8">
      <w:pPr>
        <w:pStyle w:val="Afiliasi"/>
        <w:rPr>
          <w:rFonts w:eastAsia="Times New Roman"/>
          <w:i/>
          <w:iCs/>
          <w:vertAlign w:val="superscript"/>
          <w:lang w:val="en-US"/>
        </w:rPr>
      </w:pPr>
      <w:r w:rsidRPr="00E20928">
        <w:rPr>
          <w:rFonts w:eastAsia="Times New Roman"/>
          <w:i/>
          <w:iCs/>
          <w:lang w:val="en-US"/>
        </w:rPr>
        <w:t>Universitas Borobudur, Indonesia</w:t>
      </w:r>
      <w:r w:rsidRPr="00E20928">
        <w:rPr>
          <w:rFonts w:eastAsia="Times New Roman"/>
          <w:i/>
          <w:iCs/>
          <w:vertAlign w:val="superscript"/>
          <w:lang w:val="en-US"/>
        </w:rPr>
        <w:t>1,2</w:t>
      </w:r>
    </w:p>
    <w:p w14:paraId="5C37C693" w14:textId="013D6A93" w:rsidR="003214E8" w:rsidRDefault="00E20928" w:rsidP="00E20928">
      <w:r w:rsidRPr="00E20928">
        <w:rPr>
          <w:lang w:val="sk-SK"/>
        </w:rPr>
        <w:t>martonotax1@gmail.com</w:t>
      </w:r>
      <w:r w:rsidRPr="00E20928">
        <w:rPr>
          <w:vertAlign w:val="superscript"/>
          <w:lang w:val="sk-SK"/>
        </w:rPr>
        <w:t>1</w:t>
      </w:r>
      <w:r w:rsidRPr="00E20928">
        <w:rPr>
          <w:lang w:val="sk-SK"/>
        </w:rPr>
        <w:t xml:space="preserve">, </w:t>
      </w:r>
      <w:hyperlink r:id="rId8" w:history="1">
        <w:r w:rsidRPr="00E20928">
          <w:rPr>
            <w:rStyle w:val="Hyperlink"/>
            <w:lang w:val="sk-SK"/>
          </w:rPr>
          <w:t>riswadi@borobudur.ac.id</w:t>
        </w:r>
        <w:r w:rsidRPr="00E20928">
          <w:rPr>
            <w:rStyle w:val="Hyperlink"/>
            <w:vertAlign w:val="superscript"/>
            <w:lang w:val="sk-SK"/>
          </w:rPr>
          <w:t>2</w:t>
        </w:r>
      </w:hyperlink>
    </w:p>
    <w:p w14:paraId="02BD68F5" w14:textId="77777777" w:rsidR="00E20928" w:rsidRPr="00E20928" w:rsidRDefault="00E20928" w:rsidP="00E20928">
      <w:pPr>
        <w:rPr>
          <w:i/>
          <w:iCs/>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rPr>
              <w:t>ABSTRACT</w:t>
            </w:r>
          </w:p>
        </w:tc>
      </w:tr>
      <w:tr w:rsidR="00705C62" w14:paraId="73FCB6D5" w14:textId="77777777" w:rsidTr="00712731">
        <w:trPr>
          <w:trHeight w:val="1317"/>
        </w:trPr>
        <w:tc>
          <w:tcPr>
            <w:tcW w:w="8926" w:type="dxa"/>
          </w:tcPr>
          <w:p w14:paraId="2C708721" w14:textId="60AAEE4C" w:rsidR="00705C62" w:rsidRPr="000010EA" w:rsidRDefault="00E20928" w:rsidP="00E20928">
            <w:pPr>
              <w:jc w:val="both"/>
              <w:rPr>
                <w:i/>
                <w:iCs/>
                <w:lang w:val="en-US"/>
              </w:rPr>
            </w:pPr>
            <w:r w:rsidRPr="00E20928">
              <w:rPr>
                <w:rFonts w:eastAsia="Times New Roman"/>
                <w:bCs/>
                <w:i/>
                <w:lang w:val="en-GB"/>
              </w:rPr>
              <w:t>The reorientation of policies related to Abandonment and Site Restoration (ASR) in the oil and gas industry is an important step to ensure environmental sustainability post-operation. This research aims to evaluate the implementation of ASR policies in Indonesia, regulated under Law No. 22 of 2001 on Oil and Gas and Government Regulation No. 27 of 2012 concerning Environmental Permits. The methodology used includes qualitative analysis of existing regulations, in-depth interviews with stakeholders in the oil and gas sector, and case studies of several companies that have implemented ASR practices. By focusing on the aspect of corporate responsibility in site recovery after operational activities, this research identifies the challenges faced by businesses in implementing sustainable ASR practices. The findings indicate the need for a review of existing regulations to align with sustainability principles and environmental protection. Recommendations for policy improvement include strengthening oversight, developing clear technical guidelines, and increasing local community engagement in the restoration process. It is expected that this policy reorientation can enhance corporate accountability and protect the environment, providing positive impacts for communities and ecosystems surrounding operational sites.</w:t>
            </w:r>
          </w:p>
        </w:tc>
      </w:tr>
      <w:tr w:rsidR="00E91491" w14:paraId="68AFA08D" w14:textId="77777777" w:rsidTr="00712731">
        <w:trPr>
          <w:trHeight w:val="478"/>
        </w:trPr>
        <w:tc>
          <w:tcPr>
            <w:tcW w:w="8926" w:type="dxa"/>
          </w:tcPr>
          <w:p w14:paraId="72C6406E" w14:textId="17167F2A" w:rsidR="00E91491" w:rsidRPr="00BE321F" w:rsidRDefault="00E91491" w:rsidP="00E20928">
            <w:pPr>
              <w:pStyle w:val="abstrak"/>
              <w:spacing w:before="120"/>
              <w:ind w:left="164"/>
              <w:rPr>
                <w:bCs/>
                <w:i/>
                <w:iCs/>
                <w:szCs w:val="20"/>
                <w:lang w:val="en-US"/>
              </w:rPr>
            </w:pPr>
            <w:r w:rsidRPr="00AF1EDC">
              <w:rPr>
                <w:b/>
                <w:i/>
                <w:iCs/>
                <w:szCs w:val="20"/>
              </w:rPr>
              <w:t xml:space="preserve">Keywords: </w:t>
            </w:r>
            <w:r w:rsidR="00E20928" w:rsidRPr="00E20928">
              <w:rPr>
                <w:bCs/>
                <w:i/>
                <w:iCs/>
                <w:szCs w:val="20"/>
                <w:lang w:val="en-GB"/>
              </w:rPr>
              <w:t>Abandonment, Site Restoration, Policy, Oil and Gas, Regulation</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t xml:space="preserve">This article </w:t>
      </w:r>
      <w:r w:rsidR="00976890" w:rsidRPr="00976890">
        <w:rPr>
          <w:shd w:val="clear" w:color="auto" w:fill="FFFFFF"/>
        </w:rPr>
        <w:t>is licensed under </w:t>
      </w:r>
      <w:hyperlink r:id="rId9" w:tgtFrame="_blank" w:history="1">
        <w:r w:rsidR="00976890" w:rsidRPr="00976890">
          <w:rPr>
            <w:rStyle w:val="Hyperlink"/>
            <w:color w:val="4F81BD" w:themeColor="accent1"/>
            <w:u w:val="none"/>
            <w:shd w:val="clear" w:color="auto" w:fill="FFFFFF"/>
          </w:rPr>
          <w:t>CC BY-SA 4.0 </w:t>
        </w:r>
        <w:r w:rsidR="00976890" w:rsidRPr="00976890">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712731">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1440" w:right="1440" w:bottom="1440" w:left="1440" w:header="720" w:footer="809" w:gutter="0"/>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rPr>
        <w:t>INTRODUCTION</w:t>
      </w:r>
    </w:p>
    <w:p w14:paraId="58F7949E" w14:textId="77777777" w:rsidR="00EC056C" w:rsidRDefault="00E20928" w:rsidP="00EC056C">
      <w:pPr>
        <w:spacing w:line="276" w:lineRule="auto"/>
        <w:ind w:right="98" w:firstLine="567"/>
        <w:jc w:val="both"/>
        <w:rPr>
          <w:spacing w:val="-1"/>
          <w:sz w:val="24"/>
          <w:szCs w:val="24"/>
        </w:rPr>
      </w:pPr>
      <w:r w:rsidRPr="00E20928">
        <w:rPr>
          <w:spacing w:val="-1"/>
          <w:sz w:val="24"/>
          <w:szCs w:val="24"/>
        </w:rPr>
        <w:t>Oil and natural gas (</w:t>
      </w:r>
      <w:proofErr w:type="spellStart"/>
      <w:r w:rsidRPr="00E20928">
        <w:rPr>
          <w:spacing w:val="-1"/>
          <w:sz w:val="24"/>
          <w:szCs w:val="24"/>
        </w:rPr>
        <w:t>migas</w:t>
      </w:r>
      <w:proofErr w:type="spellEnd"/>
      <w:r w:rsidRPr="00E20928">
        <w:rPr>
          <w:spacing w:val="-1"/>
          <w:sz w:val="24"/>
          <w:szCs w:val="24"/>
        </w:rPr>
        <w:t xml:space="preserve">) are very important and non-renewable natural resources governed by the state. This is in accordance with the mandate of Article 33 Paragraph (2) and (3) of the 1945 Constitution of the Republic of Indonesia. Paragraph (2) explains that branches of production that have a significant interest to the state and affect the lives of many people must be controlled by the state. Meanwhile, in paragraph (3) it is stated that the earth, water, and natural wealth contained therein are under the control of the state and must be utilized for the prosperity of the broadest community. As one of the strategic production branches, </w:t>
      </w:r>
      <w:proofErr w:type="spellStart"/>
      <w:r w:rsidRPr="00E20928">
        <w:rPr>
          <w:spacing w:val="-1"/>
          <w:sz w:val="24"/>
          <w:szCs w:val="24"/>
        </w:rPr>
        <w:t>migas</w:t>
      </w:r>
      <w:proofErr w:type="spellEnd"/>
      <w:r w:rsidRPr="00E20928">
        <w:rPr>
          <w:spacing w:val="-1"/>
          <w:sz w:val="24"/>
          <w:szCs w:val="24"/>
        </w:rPr>
        <w:t xml:space="preserve"> </w:t>
      </w:r>
      <w:proofErr w:type="gramStart"/>
      <w:r w:rsidRPr="00E20928">
        <w:rPr>
          <w:spacing w:val="-1"/>
          <w:sz w:val="24"/>
          <w:szCs w:val="24"/>
        </w:rPr>
        <w:t>plays</w:t>
      </w:r>
      <w:proofErr w:type="gramEnd"/>
      <w:r w:rsidRPr="00E20928">
        <w:rPr>
          <w:spacing w:val="-1"/>
          <w:sz w:val="24"/>
          <w:szCs w:val="24"/>
        </w:rPr>
        <w:t xml:space="preserve"> a crucial role in economic development and community welfare. Given its non-renewable nature, the management of these resources must be carried out with care and responsibility. The state has an obligation to ensure that the management of oil and gas is conducted according to sustainability principles, providing long-term benefits for the people</w:t>
      </w:r>
      <w:r w:rsidR="00EC056C">
        <w:rPr>
          <w:spacing w:val="-1"/>
          <w:sz w:val="24"/>
          <w:szCs w:val="24"/>
        </w:rPr>
        <w:t>.</w:t>
      </w:r>
    </w:p>
    <w:p w14:paraId="37A84382" w14:textId="77777777" w:rsidR="00EC056C" w:rsidRDefault="00E20928" w:rsidP="00EC056C">
      <w:pPr>
        <w:spacing w:line="276" w:lineRule="auto"/>
        <w:ind w:right="98" w:firstLine="567"/>
        <w:jc w:val="both"/>
        <w:rPr>
          <w:spacing w:val="-1"/>
          <w:sz w:val="24"/>
          <w:szCs w:val="24"/>
        </w:rPr>
      </w:pPr>
      <w:r w:rsidRPr="00E20928">
        <w:rPr>
          <w:spacing w:val="-1"/>
          <w:sz w:val="24"/>
          <w:szCs w:val="24"/>
        </w:rPr>
        <w:t>The presence of oil and gas (</w:t>
      </w:r>
      <w:proofErr w:type="spellStart"/>
      <w:r w:rsidRPr="00E20928">
        <w:rPr>
          <w:spacing w:val="-1"/>
          <w:sz w:val="24"/>
          <w:szCs w:val="24"/>
        </w:rPr>
        <w:t>migas</w:t>
      </w:r>
      <w:proofErr w:type="spellEnd"/>
      <w:r w:rsidRPr="00E20928">
        <w:rPr>
          <w:spacing w:val="-1"/>
          <w:sz w:val="24"/>
          <w:szCs w:val="24"/>
        </w:rPr>
        <w:t xml:space="preserve">) is a vital commodity for the life of society and has a crucial role in the national economy. Therefore, the management of these resources must be optimal to ensure prosperity and welfare for the people. In this case, the organization of oil and gas business activities must be based on populist economic principles that prioritize the interests of the wider community. The populist economic principles emphasize the importance of integration and synergy in the management of </w:t>
      </w:r>
      <w:proofErr w:type="spellStart"/>
      <w:r w:rsidRPr="00E20928">
        <w:rPr>
          <w:spacing w:val="-1"/>
          <w:sz w:val="24"/>
          <w:szCs w:val="24"/>
        </w:rPr>
        <w:t>migas</w:t>
      </w:r>
      <w:proofErr w:type="spellEnd"/>
      <w:r w:rsidRPr="00E20928">
        <w:rPr>
          <w:spacing w:val="-1"/>
          <w:sz w:val="24"/>
          <w:szCs w:val="24"/>
        </w:rPr>
        <w:t xml:space="preserve">, so that the benefits received can be felt evenly by all layers of society. In this context, fairness and balance are very important aspects to ensure that the results of the management of </w:t>
      </w:r>
      <w:proofErr w:type="spellStart"/>
      <w:r w:rsidRPr="00E20928">
        <w:rPr>
          <w:spacing w:val="-1"/>
          <w:sz w:val="24"/>
          <w:szCs w:val="24"/>
        </w:rPr>
        <w:t>migas</w:t>
      </w:r>
      <w:proofErr w:type="spellEnd"/>
      <w:r w:rsidRPr="00E20928">
        <w:rPr>
          <w:spacing w:val="-1"/>
          <w:sz w:val="24"/>
          <w:szCs w:val="24"/>
        </w:rPr>
        <w:t xml:space="preserve"> do not only </w:t>
      </w:r>
      <w:proofErr w:type="gramStart"/>
      <w:r w:rsidRPr="00E20928">
        <w:rPr>
          <w:spacing w:val="-1"/>
          <w:sz w:val="24"/>
          <w:szCs w:val="24"/>
        </w:rPr>
        <w:t>profit</w:t>
      </w:r>
      <w:proofErr w:type="gramEnd"/>
      <w:r w:rsidRPr="00E20928">
        <w:rPr>
          <w:spacing w:val="-1"/>
          <w:sz w:val="24"/>
          <w:szCs w:val="24"/>
        </w:rPr>
        <w:t xml:space="preserve"> a handful of people, but also provide positive contributions to the quality of life of the </w:t>
      </w:r>
      <w:proofErr w:type="gramStart"/>
      <w:r w:rsidRPr="00E20928">
        <w:rPr>
          <w:spacing w:val="-1"/>
          <w:sz w:val="24"/>
          <w:szCs w:val="24"/>
        </w:rPr>
        <w:t xml:space="preserve">community as a </w:t>
      </w:r>
      <w:r w:rsidRPr="00E20928">
        <w:rPr>
          <w:spacing w:val="-1"/>
          <w:sz w:val="24"/>
          <w:szCs w:val="24"/>
        </w:rPr>
        <w:lastRenderedPageBreak/>
        <w:t>whole</w:t>
      </w:r>
      <w:proofErr w:type="gramEnd"/>
      <w:r w:rsidRPr="00E20928">
        <w:rPr>
          <w:spacing w:val="-1"/>
          <w:sz w:val="24"/>
          <w:szCs w:val="24"/>
        </w:rPr>
        <w:t>. Additionally, equitable access to oil and gas resources must also be considered so that all citizens can experience the positive impacts of these activities.</w:t>
      </w:r>
    </w:p>
    <w:p w14:paraId="5FBAAA32" w14:textId="66071BBE" w:rsidR="00EC056C" w:rsidRDefault="00E20928" w:rsidP="00EC056C">
      <w:pPr>
        <w:spacing w:line="276" w:lineRule="auto"/>
        <w:ind w:right="98" w:firstLine="567"/>
        <w:jc w:val="both"/>
        <w:rPr>
          <w:spacing w:val="-1"/>
          <w:sz w:val="24"/>
          <w:szCs w:val="24"/>
        </w:rPr>
      </w:pPr>
      <w:r w:rsidRPr="00E20928">
        <w:rPr>
          <w:spacing w:val="-1"/>
          <w:sz w:val="24"/>
          <w:szCs w:val="24"/>
        </w:rPr>
        <w:t>To provide a significant contribution to sustainable national economic growth, the oil and gas sector (</w:t>
      </w:r>
      <w:proofErr w:type="spellStart"/>
      <w:r w:rsidRPr="00E20928">
        <w:rPr>
          <w:spacing w:val="-1"/>
          <w:sz w:val="24"/>
          <w:szCs w:val="24"/>
        </w:rPr>
        <w:t>migas</w:t>
      </w:r>
      <w:proofErr w:type="spellEnd"/>
      <w:r w:rsidRPr="00E20928">
        <w:rPr>
          <w:spacing w:val="-1"/>
          <w:sz w:val="24"/>
          <w:szCs w:val="24"/>
        </w:rPr>
        <w:t xml:space="preserve">) requires very large investments, from the planning stage to production. Furthermore, this sector also needs human resources with special expertise. Due to the substantial capital requirements, many oil and gas business activities are managed by the private sector that has adequate financial capacity and resources. According to </w:t>
      </w:r>
      <w:proofErr w:type="spellStart"/>
      <w:r w:rsidRPr="00E20928">
        <w:rPr>
          <w:spacing w:val="-1"/>
          <w:sz w:val="24"/>
          <w:szCs w:val="24"/>
        </w:rPr>
        <w:t>Wahyudin</w:t>
      </w:r>
      <w:proofErr w:type="spellEnd"/>
      <w:r w:rsidRPr="00E20928">
        <w:rPr>
          <w:spacing w:val="-1"/>
          <w:sz w:val="24"/>
          <w:szCs w:val="24"/>
        </w:rPr>
        <w:t xml:space="preserve"> </w:t>
      </w:r>
      <w:proofErr w:type="spellStart"/>
      <w:r w:rsidRPr="00E20928">
        <w:rPr>
          <w:spacing w:val="-1"/>
          <w:sz w:val="24"/>
          <w:szCs w:val="24"/>
        </w:rPr>
        <w:t>Sunarya</w:t>
      </w:r>
      <w:proofErr w:type="spellEnd"/>
      <w:r w:rsidRPr="00E20928">
        <w:rPr>
          <w:spacing w:val="-1"/>
          <w:sz w:val="24"/>
          <w:szCs w:val="24"/>
        </w:rPr>
        <w:t xml:space="preserve"> and Giri Ahmad Taufik, the oil and gas industry is known as a capital-intensive, technology-intensive industry with high financial risks. The presence of private sector players in the oil and gas sector does not occur automatically but requires government efforts to attract investment through supportive policies. Business actors typically conduct feasibility analyses to evaluate the various supports provided by the government. The most critical thing for business players in the oil and gas sector is legal certainty, which is</w:t>
      </w:r>
      <w:r w:rsidR="00EC056C">
        <w:rPr>
          <w:spacing w:val="-1"/>
          <w:sz w:val="24"/>
          <w:szCs w:val="24"/>
        </w:rPr>
        <w:t xml:space="preserve"> </w:t>
      </w:r>
      <w:r w:rsidRPr="00E20928">
        <w:rPr>
          <w:spacing w:val="-1"/>
          <w:sz w:val="24"/>
          <w:szCs w:val="24"/>
        </w:rPr>
        <w:t>guaranteed through regulations, so they feel secure in their investments</w:t>
      </w:r>
      <w:r w:rsidR="00EC056C">
        <w:rPr>
          <w:spacing w:val="-1"/>
          <w:sz w:val="24"/>
          <w:szCs w:val="24"/>
        </w:rPr>
        <w:t xml:space="preserve"> </w:t>
      </w:r>
      <w:r w:rsidR="00EC056C">
        <w:rPr>
          <w:spacing w:val="-1"/>
          <w:sz w:val="24"/>
          <w:szCs w:val="24"/>
        </w:rPr>
        <w:fldChar w:fldCharType="begin" w:fldLock="1"/>
      </w:r>
      <w:r w:rsidR="00EC056C">
        <w:rPr>
          <w:spacing w:val="-1"/>
          <w:sz w:val="24"/>
          <w:szCs w:val="24"/>
        </w:rPr>
        <w:instrText>ADDIN CSL_CITATION {"citationItems":[{"id":"ITEM-1","itemData":{"ISBN":"6025107505","author":[{"dropping-particle":"","family":"Sunarya","given":"Wahyudin","non-dropping-particle":"","parse-names":false,"suffix":""},{"dropping-particle":"","family":"Taufik","given":"Giri Ahmad","non-dropping-particle":"","parse-names":false,"suffix":""}],"id":"ITEM-1","issued":{"date-parts":[["2018"]]},"publisher":"Kantor Hukum Wibowo &amp; Rekan","title":"Penghantar Hukum Minyak dan Gas Indonesia","type":"book"},"uris":["http://www.mendeley.com/documents/?uuid=4fa0d16e-5b4b-49c8-91ce-0871e61bd4c3"]}],"mendeley":{"formattedCitation":"(Sunarya &amp; Taufik, 2018)","plainTextFormattedCitation":"(Sunarya &amp; Taufik, 2018)","previouslyFormattedCitation":"(Sunarya &amp; Taufik, 2018)"},"properties":{"noteIndex":0},"schema":"https://github.com/citation-style-language/schema/raw/master/csl-citation.json"}</w:instrText>
      </w:r>
      <w:r w:rsidR="00EC056C">
        <w:rPr>
          <w:spacing w:val="-1"/>
          <w:sz w:val="24"/>
          <w:szCs w:val="24"/>
        </w:rPr>
        <w:fldChar w:fldCharType="separate"/>
      </w:r>
      <w:r w:rsidR="00EC056C" w:rsidRPr="00EC056C">
        <w:rPr>
          <w:noProof/>
          <w:spacing w:val="-1"/>
          <w:sz w:val="24"/>
          <w:szCs w:val="24"/>
        </w:rPr>
        <w:t>(Sunarya &amp; Taufik, 2018)</w:t>
      </w:r>
      <w:r w:rsidR="00EC056C">
        <w:rPr>
          <w:spacing w:val="-1"/>
          <w:sz w:val="24"/>
          <w:szCs w:val="24"/>
        </w:rPr>
        <w:fldChar w:fldCharType="end"/>
      </w:r>
      <w:r w:rsidR="00EC056C">
        <w:rPr>
          <w:spacing w:val="-1"/>
          <w:sz w:val="24"/>
          <w:szCs w:val="24"/>
        </w:rPr>
        <w:t xml:space="preserve">. </w:t>
      </w:r>
    </w:p>
    <w:p w14:paraId="7AEF36D8" w14:textId="4A740398" w:rsidR="00EC056C" w:rsidRPr="00EC056C" w:rsidRDefault="00E20928" w:rsidP="00EC056C">
      <w:pPr>
        <w:spacing w:line="276" w:lineRule="auto"/>
        <w:ind w:right="98" w:firstLine="567"/>
        <w:jc w:val="both"/>
        <w:rPr>
          <w:spacing w:val="-1"/>
          <w:sz w:val="24"/>
          <w:szCs w:val="24"/>
        </w:rPr>
      </w:pPr>
      <w:r w:rsidRPr="00E20928">
        <w:rPr>
          <w:spacing w:val="-1"/>
          <w:sz w:val="24"/>
          <w:szCs w:val="24"/>
          <w:lang w:val="en-ID"/>
        </w:rPr>
        <w:t>As a resource-rich nation in oil and gas, Indonesia should be able to produce plenty of oil and gas to meet domestic demands. However, the reality is quite different. Oil and gas consumption in Indonesia continues to rise, in line with the increasing number of motor vehicles and the rising use of gas for household, industrial, and electricity generation needs. This increasing demand cannot be matched by the available oil and gas production from existing natural resources. The growth in the population of motor vehicles, including both cars and motorcycles, has created significant demand for fuel. This adds pressure to domestic oil and gas production, which has been unable to meet the needs of the populace effectively. Furthermore, the enhanced use of gas as an energy source for households and industries has also increased, creating additional pressure on oil and gas supply. This situation highlights the considerable challenges Indonesia faces in managing its oil and gas resources. Despite having great potential, the gap between consumption and production indicates the need for more effective strategies in managing these resources.</w:t>
      </w:r>
      <w:r w:rsidR="00EC056C">
        <w:rPr>
          <w:spacing w:val="-1"/>
          <w:sz w:val="24"/>
          <w:szCs w:val="24"/>
          <w:lang w:val="en-ID"/>
        </w:rPr>
        <w:t xml:space="preserve"> </w:t>
      </w:r>
    </w:p>
    <w:p w14:paraId="33AF0533" w14:textId="77777777" w:rsidR="00EC056C" w:rsidRDefault="00E20928" w:rsidP="00EC056C">
      <w:pPr>
        <w:spacing w:line="276" w:lineRule="auto"/>
        <w:ind w:right="98" w:firstLine="567"/>
        <w:jc w:val="both"/>
        <w:rPr>
          <w:spacing w:val="-1"/>
          <w:sz w:val="24"/>
          <w:szCs w:val="24"/>
          <w:lang w:val="en-ID"/>
        </w:rPr>
      </w:pPr>
      <w:r w:rsidRPr="00E20928">
        <w:rPr>
          <w:spacing w:val="-1"/>
          <w:sz w:val="24"/>
          <w:szCs w:val="24"/>
          <w:lang w:val="en-ID"/>
        </w:rPr>
        <w:t>Indonesia's dependence on oil and gas imports continues to increase year after year, indicating that efforts to meet domestic needs cannot keep pace with local production. While this country has abundant oil and gas resources, without timely actions to enhance exploration and discover new gas reserves, domestic needs will remain reliant on imports. This condition reflects serious challenges in managing oil and gas resources in Indonesia. Even though there is considerable potential, if not optimized through more aggressive exploration, the available oil and gas reserves will not be sufficient to meet the growing demand. In this regard, investment in technology and skilled human resources for exploration and development of oil and gas emerges as critically important. If dependency on imports continues, Indonesia will face several risks, including global price fluctuations and supply uncertainties</w:t>
      </w:r>
      <w:r w:rsidR="00EC056C">
        <w:rPr>
          <w:spacing w:val="-1"/>
          <w:sz w:val="24"/>
          <w:szCs w:val="24"/>
          <w:lang w:val="en-ID"/>
        </w:rPr>
        <w:t>.</w:t>
      </w:r>
    </w:p>
    <w:p w14:paraId="60DA1D42" w14:textId="77777777" w:rsidR="00EC056C" w:rsidRDefault="00E20928" w:rsidP="00EC056C">
      <w:pPr>
        <w:spacing w:line="276" w:lineRule="auto"/>
        <w:ind w:right="98" w:firstLine="567"/>
        <w:jc w:val="both"/>
        <w:rPr>
          <w:spacing w:val="-1"/>
          <w:sz w:val="24"/>
          <w:szCs w:val="24"/>
          <w:lang w:val="en-ID"/>
        </w:rPr>
      </w:pPr>
      <w:r w:rsidRPr="00E20928">
        <w:rPr>
          <w:spacing w:val="-1"/>
          <w:sz w:val="24"/>
          <w:szCs w:val="24"/>
          <w:lang w:val="en-ID"/>
        </w:rPr>
        <w:t xml:space="preserve">The lack of new oil and gas reserves in Indonesia indicates that investors are showing little interest in investing in exploration and exploitation efforts. One factor contributing to this lack of interest is legal uncertainty. At the exploration stage, there is an obligation for involved parties to deposit recovery funds for oil and gas mines, known as Abandonment Site and Restoration (ASR), before exploration activities can take place. The government should pay more attention to specific challenges faced in the oil and gas sector, where advanced technology, large investments, ample time, and efficient, quality human resources are required </w:t>
      </w:r>
      <w:r w:rsidRPr="00E20928">
        <w:rPr>
          <w:spacing w:val="-1"/>
          <w:sz w:val="24"/>
          <w:szCs w:val="24"/>
          <w:lang w:val="en-ID"/>
        </w:rPr>
        <w:lastRenderedPageBreak/>
        <w:t>to identify resource potential. Therefore, when legitimate contractors invest capital, it is not a trivial matter and should not be subject to policies that do not provide legal guarantees.</w:t>
      </w:r>
    </w:p>
    <w:p w14:paraId="61620F1F" w14:textId="77777777" w:rsidR="00EC056C" w:rsidRDefault="00E20928" w:rsidP="00EC056C">
      <w:pPr>
        <w:spacing w:line="276" w:lineRule="auto"/>
        <w:ind w:right="98" w:firstLine="567"/>
        <w:jc w:val="both"/>
        <w:rPr>
          <w:spacing w:val="-1"/>
          <w:sz w:val="24"/>
          <w:szCs w:val="24"/>
          <w:lang w:val="en-ID"/>
        </w:rPr>
      </w:pPr>
      <w:r w:rsidRPr="00E20928">
        <w:rPr>
          <w:spacing w:val="-1"/>
          <w:sz w:val="24"/>
          <w:szCs w:val="24"/>
          <w:lang w:val="en-ID"/>
        </w:rPr>
        <w:t>Government policy related to Abandonment Site and Restoration (ASR) in the oil and gas sector is stipulated in the Minister of Energy and Mineral Resources Regulation No. 15 of 2018 concerning Post-Operation Activities in the upstream oil and gas sector (</w:t>
      </w:r>
      <w:proofErr w:type="spellStart"/>
      <w:r w:rsidRPr="00E20928">
        <w:rPr>
          <w:spacing w:val="-1"/>
          <w:sz w:val="24"/>
          <w:szCs w:val="24"/>
          <w:lang w:val="en-ID"/>
        </w:rPr>
        <w:t>Permen</w:t>
      </w:r>
      <w:proofErr w:type="spellEnd"/>
      <w:r w:rsidRPr="00E20928">
        <w:rPr>
          <w:spacing w:val="-1"/>
          <w:sz w:val="24"/>
          <w:szCs w:val="24"/>
          <w:lang w:val="en-ID"/>
        </w:rPr>
        <w:t xml:space="preserve"> ESDM 15/2018). Article 11 regulates the obligation of contractors to set aside funds for post-operation activities. According to the provisions in Article 11, contractors are required to set aside funds necessary for post-operation activities, according to the estimated costs specified in the post-operation activity plan. This fund reservation must be carried out gradually, in accordance with the Work Plan and Budget that has been prepared. Additionally, the fund reservation must be done in the first year when oil and gas production is declared commercial. Funds reserved for post-operation activities must be deposited into a joint account managed between the Special Task Force for Upstream Oil and Gas Business (SKK </w:t>
      </w:r>
      <w:proofErr w:type="spellStart"/>
      <w:r w:rsidRPr="00E20928">
        <w:rPr>
          <w:spacing w:val="-1"/>
          <w:sz w:val="24"/>
          <w:szCs w:val="24"/>
          <w:lang w:val="en-ID"/>
        </w:rPr>
        <w:t>Migas</w:t>
      </w:r>
      <w:proofErr w:type="spellEnd"/>
      <w:r w:rsidRPr="00E20928">
        <w:rPr>
          <w:spacing w:val="-1"/>
          <w:sz w:val="24"/>
          <w:szCs w:val="24"/>
          <w:lang w:val="en-ID"/>
        </w:rPr>
        <w:t>) and the contractor in a government-owned commercial bank in Indonesia. Should any interest income arise from these reserved funds, such interest will be considered part of the total funds that the contractor is obligated to reserve. This regulation demonstrates the government's commitment to ensuring that contractors are responsible for environmental recovery after exploration and production activities have ended.</w:t>
      </w:r>
    </w:p>
    <w:p w14:paraId="767C6341" w14:textId="77777777" w:rsidR="00EC056C" w:rsidRDefault="00E20928" w:rsidP="00EC056C">
      <w:pPr>
        <w:spacing w:line="276" w:lineRule="auto"/>
        <w:ind w:right="98" w:firstLine="567"/>
        <w:jc w:val="both"/>
        <w:rPr>
          <w:spacing w:val="-1"/>
          <w:sz w:val="24"/>
          <w:szCs w:val="24"/>
          <w:lang w:val="en-ID"/>
        </w:rPr>
      </w:pPr>
      <w:r w:rsidRPr="00E20928">
        <w:rPr>
          <w:spacing w:val="-1"/>
          <w:sz w:val="24"/>
          <w:szCs w:val="24"/>
          <w:lang w:val="en-ID"/>
        </w:rPr>
        <w:t xml:space="preserve">The provisions stated in Article 11 paragraph 3 of Minister of Energy and Mineral Resources Regulation No. 15 of 2018 are closely related to Article 20 and Article 21, which are stated in the Closing section of this regulation. Article 20 stipulates that when these regulations come into force, all funds reserved for post-operation activities that have been set aside but not utilized prior to the enactment of these regulations must be aligned and implemented according to the provisions established in this new regulation. Article 21 explains the transitional provisions for contractors who have not organized post-operation activities within their cooperation contracts. These contractors are required to comply with the provisions established in this regulation, including the obligation to allocate funds for post-operation activities and use those funds in accordance with the new regulations. In this case, tighter arrangements regarding funds reserved for post-operation activities indicate the government's effort to ensure that there is certainty and accountability in managing funds designated for environmental recovery after oil and gas exploration and production activities have concluded. The amount of reserved funds and the method of reserving those funds will be determined by the head of SKK </w:t>
      </w:r>
      <w:proofErr w:type="spellStart"/>
      <w:r w:rsidRPr="00E20928">
        <w:rPr>
          <w:spacing w:val="-1"/>
          <w:sz w:val="24"/>
          <w:szCs w:val="24"/>
          <w:lang w:val="en-ID"/>
        </w:rPr>
        <w:t>Migas</w:t>
      </w:r>
      <w:proofErr w:type="spellEnd"/>
      <w:r w:rsidRPr="00E20928">
        <w:rPr>
          <w:spacing w:val="-1"/>
          <w:sz w:val="24"/>
          <w:szCs w:val="24"/>
          <w:lang w:val="en-ID"/>
        </w:rPr>
        <w:t>, who must then report to the Director General. This creates a more organized and transparent system where monitoring and oversight of fund usage can be conducted more effectively.</w:t>
      </w:r>
    </w:p>
    <w:p w14:paraId="262A3A81" w14:textId="216A8755" w:rsidR="00EC056C" w:rsidRDefault="00E20928" w:rsidP="00EC056C">
      <w:pPr>
        <w:spacing w:line="276" w:lineRule="auto"/>
        <w:ind w:right="98" w:firstLine="567"/>
        <w:jc w:val="both"/>
        <w:rPr>
          <w:spacing w:val="-1"/>
          <w:sz w:val="24"/>
          <w:szCs w:val="24"/>
          <w:lang w:val="en-ID"/>
        </w:rPr>
      </w:pPr>
      <w:r w:rsidRPr="00E20928">
        <w:rPr>
          <w:spacing w:val="-1"/>
          <w:sz w:val="24"/>
          <w:szCs w:val="24"/>
          <w:lang w:val="en-ID"/>
        </w:rPr>
        <w:t xml:space="preserve">The provisions related to Abandonment Site and Restoration (ASR) outlined previously can lead to significant legal uncertainty. One example is Article 21 letter c in the Minister of Energy and Mineral Resources Regulation No. 15 of 2018, which discusses the amount and method of fund reservation. Ambiguities in this provision have the potential to create situations where business actors could experience extortion. This uncertainty becomes particularly relevant in the context of bookkeeping and business management, as investors will face unpredictable challenges and difficulties in planning their finances. The lack of clarity regarding the amount of funds to be reserved and the method of reserving them could leave business actors feeling pressured. Without clear guidelines, they may be compelled to set aside </w:t>
      </w:r>
      <w:r w:rsidRPr="00E20928">
        <w:rPr>
          <w:spacing w:val="-1"/>
          <w:sz w:val="24"/>
          <w:szCs w:val="24"/>
          <w:lang w:val="en-ID"/>
        </w:rPr>
        <w:lastRenderedPageBreak/>
        <w:t xml:space="preserve">more funds than necessary or be forced to comply with unfair demands from authorities. This not only creates instability in company operations but could also potentially reduce investor interest in participating in the oil and gas sector in Indonesia. In the long term, this situation may harm the oil and gas </w:t>
      </w:r>
      <w:r w:rsidR="00EC056C" w:rsidRPr="00E20928">
        <w:rPr>
          <w:spacing w:val="-1"/>
          <w:sz w:val="24"/>
          <w:szCs w:val="24"/>
          <w:lang w:val="en-ID"/>
        </w:rPr>
        <w:t>industry</w:t>
      </w:r>
      <w:r w:rsidRPr="00E20928">
        <w:rPr>
          <w:spacing w:val="-1"/>
          <w:sz w:val="24"/>
          <w:szCs w:val="24"/>
          <w:lang w:val="en-ID"/>
        </w:rPr>
        <w:t>. If investors feel that existing regulations do not provide sufficient certainty and protection, they may seek opportunities in other countries that offer a more conducive investment climate.</w:t>
      </w:r>
    </w:p>
    <w:p w14:paraId="7800EC60" w14:textId="097D4770" w:rsidR="00E20928" w:rsidRPr="00E20928" w:rsidRDefault="00E20928" w:rsidP="00EC056C">
      <w:pPr>
        <w:spacing w:line="276" w:lineRule="auto"/>
        <w:ind w:right="98" w:firstLine="567"/>
        <w:jc w:val="both"/>
        <w:rPr>
          <w:spacing w:val="-1"/>
          <w:sz w:val="24"/>
          <w:szCs w:val="24"/>
          <w:lang w:val="en-ID"/>
        </w:rPr>
      </w:pPr>
      <w:r w:rsidRPr="00E20928">
        <w:rPr>
          <w:spacing w:val="-1"/>
          <w:sz w:val="24"/>
          <w:szCs w:val="24"/>
          <w:lang w:val="en-ID"/>
        </w:rPr>
        <w:t xml:space="preserve">For investors who have already invested capital in Indonesia, sudden regulatory changes can have negative impacts. This uncertainty affects not only existing investors but also can impact the evaluations of other investors considering investment in Indonesia. They may perceive that the regulations in this country tend to fluctuate, making the investment climate unstable and lacking the legal certainty necessary. This situation is further compounded by the fact that agreements reached in contracts are often not respected. When the Indonesian government overlooks previously agreed-upon provisions, it creates uncertainty among investors regarding the reliability and integrity of the legal system in the country. Contracts should serve as a strong foundation for cooperation between the government and business actors; however, if these contracts can be disregarded, investor confidence will decline. In the long term, the repercussions of this uncertainty could lead to reduced investment interest, which in turn would negatively impact national economic growth. </w:t>
      </w:r>
    </w:p>
    <w:p w14:paraId="5679127D" w14:textId="77777777" w:rsidR="00E20928" w:rsidRPr="00E20928" w:rsidRDefault="00E20928" w:rsidP="00E20928">
      <w:pPr>
        <w:spacing w:line="276" w:lineRule="auto"/>
        <w:ind w:right="98"/>
        <w:jc w:val="both"/>
        <w:rPr>
          <w:spacing w:val="-1"/>
          <w:sz w:val="24"/>
          <w:szCs w:val="24"/>
          <w:lang w:val="en-ID"/>
        </w:rPr>
      </w:pPr>
      <w:r w:rsidRPr="00E20928">
        <w:rPr>
          <w:spacing w:val="-1"/>
          <w:sz w:val="24"/>
          <w:szCs w:val="24"/>
          <w:lang w:val="en-ID"/>
        </w:rPr>
        <w:t>From a regulatory perspective, the provisions of Article 11 of the Minister of Energy and Mineral Resources Regulation No. 15 of 2018 are confronted with the provisions of Article 11 of Law No. 22 of 2001 on Oil and Gas (Oil and Gas Law) which states:</w:t>
      </w:r>
    </w:p>
    <w:p w14:paraId="7DC729BC" w14:textId="77777777" w:rsidR="00E20928" w:rsidRPr="00E20928" w:rsidRDefault="00E20928" w:rsidP="00E20928">
      <w:pPr>
        <w:numPr>
          <w:ilvl w:val="0"/>
          <w:numId w:val="48"/>
        </w:numPr>
        <w:spacing w:line="276" w:lineRule="auto"/>
        <w:ind w:right="98"/>
        <w:jc w:val="both"/>
        <w:rPr>
          <w:spacing w:val="-1"/>
          <w:sz w:val="24"/>
          <w:szCs w:val="24"/>
        </w:rPr>
      </w:pPr>
      <w:r w:rsidRPr="00E20928">
        <w:rPr>
          <w:spacing w:val="-1"/>
          <w:sz w:val="24"/>
          <w:szCs w:val="24"/>
        </w:rPr>
        <w:t>Upstream business activities as referred to in Article 5 point 1 shall be carried out by Business Entities or Permanent Establishments based on Cooperation Contracts with the Implementing Agency.</w:t>
      </w:r>
    </w:p>
    <w:p w14:paraId="5C9919D1" w14:textId="77777777" w:rsidR="00E20928" w:rsidRPr="00E20928" w:rsidRDefault="00E20928" w:rsidP="00E20928">
      <w:pPr>
        <w:numPr>
          <w:ilvl w:val="0"/>
          <w:numId w:val="48"/>
        </w:numPr>
        <w:spacing w:line="276" w:lineRule="auto"/>
        <w:ind w:right="98"/>
        <w:jc w:val="both"/>
        <w:rPr>
          <w:spacing w:val="-1"/>
          <w:sz w:val="24"/>
          <w:szCs w:val="24"/>
        </w:rPr>
      </w:pPr>
      <w:r w:rsidRPr="00E20928">
        <w:rPr>
          <w:spacing w:val="-1"/>
          <w:sz w:val="24"/>
          <w:szCs w:val="24"/>
        </w:rPr>
        <w:t>Every Cooperation Contract that has been signed must be notified in writing to the People's Representative Council of the Republic of Indonesia.</w:t>
      </w:r>
    </w:p>
    <w:p w14:paraId="78803EF7" w14:textId="77777777" w:rsidR="00E20928" w:rsidRPr="00E20928" w:rsidRDefault="00E20928" w:rsidP="00E20928">
      <w:pPr>
        <w:numPr>
          <w:ilvl w:val="0"/>
          <w:numId w:val="48"/>
        </w:numPr>
        <w:spacing w:line="276" w:lineRule="auto"/>
        <w:ind w:right="98"/>
        <w:jc w:val="both"/>
        <w:rPr>
          <w:spacing w:val="-1"/>
          <w:sz w:val="24"/>
          <w:szCs w:val="24"/>
        </w:rPr>
      </w:pPr>
      <w:r w:rsidRPr="00E20928">
        <w:rPr>
          <w:spacing w:val="-1"/>
          <w:sz w:val="24"/>
          <w:szCs w:val="24"/>
        </w:rPr>
        <w:t xml:space="preserve">Each Cooperation Contract as referred to in paragraph (1) must include at least the following essential provisions: a. state revenue; b. working area and its return; c. obligations to spend funds; d. transfer of ownership of production results of oil and gas; e. duration and extension conditions of the contract; f. dispute resolution; g. obligations to supply oil and/or gas for domestic needs; h. termination of the contract; </w:t>
      </w:r>
      <w:proofErr w:type="spellStart"/>
      <w:r w:rsidRPr="00E20928">
        <w:rPr>
          <w:spacing w:val="-1"/>
          <w:sz w:val="24"/>
          <w:szCs w:val="24"/>
        </w:rPr>
        <w:t>i</w:t>
      </w:r>
      <w:proofErr w:type="spellEnd"/>
      <w:r w:rsidRPr="00E20928">
        <w:rPr>
          <w:spacing w:val="-1"/>
          <w:sz w:val="24"/>
          <w:szCs w:val="24"/>
        </w:rPr>
        <w:t>. obligations for post-mining operations; j. work safety and health; k. environmental management; l. transfer of rights and obligations; m. necessary reporting; n. field development plan; o. prioritization of the utilization of domestic goods and services; p. community development; and q. prioritization of Indonesian labor usage.</w:t>
      </w:r>
    </w:p>
    <w:p w14:paraId="11C14ABB" w14:textId="77777777" w:rsidR="00EC056C" w:rsidRDefault="00E20928" w:rsidP="00EC056C">
      <w:pPr>
        <w:spacing w:line="276" w:lineRule="auto"/>
        <w:ind w:right="98" w:firstLine="567"/>
        <w:jc w:val="both"/>
        <w:rPr>
          <w:spacing w:val="-1"/>
          <w:sz w:val="24"/>
          <w:szCs w:val="24"/>
        </w:rPr>
      </w:pPr>
      <w:r w:rsidRPr="00E20928">
        <w:rPr>
          <w:spacing w:val="-1"/>
          <w:sz w:val="24"/>
          <w:szCs w:val="24"/>
        </w:rPr>
        <w:t xml:space="preserve">Referring to the provisions of Article 11 of Law No. 22 of 2001, it can be understood that every contract in the oil and gas sector must at least cover various aspects listed in letters a to q. Among these points, letters c and </w:t>
      </w:r>
      <w:proofErr w:type="spellStart"/>
      <w:r w:rsidRPr="00E20928">
        <w:rPr>
          <w:spacing w:val="-1"/>
          <w:sz w:val="24"/>
          <w:szCs w:val="24"/>
        </w:rPr>
        <w:t>i</w:t>
      </w:r>
      <w:proofErr w:type="spellEnd"/>
      <w:r w:rsidRPr="00E20928">
        <w:rPr>
          <w:spacing w:val="-1"/>
          <w:sz w:val="24"/>
          <w:szCs w:val="24"/>
        </w:rPr>
        <w:t xml:space="preserve"> regulate Abandonment and Site Restoration (ASR), which reflect the agreements between the contracting parties. Obligations related to funding expenditure and post-operation mining activities must be included in clauses within the contracts mutually agreed upon by both parties. However, in the context of Article 11 of the Minister of Energy and Mineral Resources Regulation No. 15 of 2018, there is an emphasis on absolute conditions. This requires existing contracts to be adjusted to the new provisions </w:t>
      </w:r>
      <w:r w:rsidRPr="00E20928">
        <w:rPr>
          <w:spacing w:val="-1"/>
          <w:sz w:val="24"/>
          <w:szCs w:val="24"/>
        </w:rPr>
        <w:lastRenderedPageBreak/>
        <w:t>governed by these regulations. The inconsistency between higher regulations, namely the Law, and lower regulations, such as Ministerial Regulations, raises legal issues. This inconsistency indicates a problem in the regulatory hierarchy, or what is known as subordination, wherein lower-level regulations should not contradict the principles set forth in the law</w:t>
      </w:r>
      <w:r w:rsidR="00EC056C">
        <w:rPr>
          <w:spacing w:val="-1"/>
          <w:sz w:val="24"/>
          <w:szCs w:val="24"/>
        </w:rPr>
        <w:t>.</w:t>
      </w:r>
    </w:p>
    <w:p w14:paraId="233C61B5" w14:textId="3F4099D8" w:rsidR="00EC056C" w:rsidRDefault="00E20928" w:rsidP="00EC056C">
      <w:pPr>
        <w:spacing w:line="276" w:lineRule="auto"/>
        <w:ind w:right="98" w:firstLine="567"/>
        <w:jc w:val="both"/>
        <w:rPr>
          <w:spacing w:val="-1"/>
          <w:sz w:val="24"/>
          <w:szCs w:val="24"/>
        </w:rPr>
      </w:pPr>
      <w:r w:rsidRPr="00E20928">
        <w:rPr>
          <w:spacing w:val="-1"/>
          <w:sz w:val="24"/>
          <w:szCs w:val="24"/>
        </w:rPr>
        <w:t xml:space="preserve">Abandonment and Site Restoration (ASR), commonly referred to as Cost Recovery, is a common practice in various mining activities. However, it is essential to note that ASR in the oil and gas sector cannot be treated similarly to mineral and coal mining (Minerba), where funds are typically deposited at the beginning of the process. The government's unclear discourse regarding replacing ASR with taxes and royalties further exacerbates legal uncertainty for investors wanting to participate in this sector. From a philosophical standpoint, there are fundamental issues regarding the achievement of legal objectives. The law fundamentally aims to realize justice. Justice is seen as the core of legal objectives. According to </w:t>
      </w:r>
      <w:proofErr w:type="spellStart"/>
      <w:r w:rsidRPr="00E20928">
        <w:rPr>
          <w:spacing w:val="-1"/>
          <w:sz w:val="24"/>
          <w:szCs w:val="24"/>
        </w:rPr>
        <w:t>Soetandyo</w:t>
      </w:r>
      <w:proofErr w:type="spellEnd"/>
      <w:r w:rsidRPr="00E20928">
        <w:rPr>
          <w:spacing w:val="-1"/>
          <w:sz w:val="24"/>
          <w:szCs w:val="24"/>
        </w:rPr>
        <w:t xml:space="preserve"> </w:t>
      </w:r>
      <w:proofErr w:type="spellStart"/>
      <w:r w:rsidRPr="00E20928">
        <w:rPr>
          <w:spacing w:val="-1"/>
          <w:sz w:val="24"/>
          <w:szCs w:val="24"/>
        </w:rPr>
        <w:t>Wignosoebroto</w:t>
      </w:r>
      <w:proofErr w:type="spellEnd"/>
      <w:r w:rsidRPr="00E20928">
        <w:rPr>
          <w:spacing w:val="-1"/>
          <w:sz w:val="24"/>
          <w:szCs w:val="24"/>
        </w:rPr>
        <w:t xml:space="preserve">, justice is at the heart of the law. Without justice, a regulation cannot be considered legitimate law. Additionally, </w:t>
      </w:r>
      <w:proofErr w:type="spellStart"/>
      <w:r w:rsidRPr="00E20928">
        <w:rPr>
          <w:spacing w:val="-1"/>
          <w:sz w:val="24"/>
          <w:szCs w:val="24"/>
        </w:rPr>
        <w:t>Satjipto</w:t>
      </w:r>
      <w:proofErr w:type="spellEnd"/>
      <w:r w:rsidRPr="00E20928">
        <w:rPr>
          <w:spacing w:val="-1"/>
          <w:sz w:val="24"/>
          <w:szCs w:val="24"/>
        </w:rPr>
        <w:t xml:space="preserve"> Rahardjo argues that if justice is made the goal of the law, it must be realized to the best extent</w:t>
      </w:r>
      <w:r w:rsidR="00EC056C">
        <w:rPr>
          <w:spacing w:val="-1"/>
          <w:sz w:val="24"/>
          <w:szCs w:val="24"/>
        </w:rPr>
        <w:t xml:space="preserve"> </w:t>
      </w:r>
      <w:r w:rsidR="00EC056C">
        <w:rPr>
          <w:spacing w:val="-1"/>
          <w:sz w:val="24"/>
          <w:szCs w:val="24"/>
        </w:rPr>
        <w:fldChar w:fldCharType="begin" w:fldLock="1"/>
      </w:r>
      <w:r w:rsidR="00EC056C">
        <w:rPr>
          <w:spacing w:val="-1"/>
          <w:sz w:val="24"/>
          <w:szCs w:val="24"/>
        </w:rPr>
        <w:instrText>ADDIN CSL_CITATION {"citationItems":[{"id":"ITEM-1","itemData":{"author":[{"dropping-particle":"","family":"Yudho","given":"Winarno","non-dropping-particle":"","parse-names":false,"suffix":""},{"dropping-particle":"","family":"Wignjosoebroto","given":"Soetandyo","non-dropping-particle":"","parse-names":false,"suffix":""}],"container-title":"(No Title)","id":"ITEM-1","issued":{"date-parts":[["2002"]]},"title":"Sosok guru dan ilmuwan yang kritis dan konsisten: kumpulan tulisan peringatan 70 tahun Prof. Soetandyo Wignjosoebroto","type":"article-journal"},"uris":["http://www.mendeley.com/documents/?uuid=2449b6b6-3b09-4027-b068-bb1128c18c01"]}],"mendeley":{"formattedCitation":"(Yudho &amp; Wignjosoebroto, 2002)","plainTextFormattedCitation":"(Yudho &amp; Wignjosoebroto, 2002)","previouslyFormattedCitation":"(Yudho &amp; Wignjosoebroto, 2002)"},"properties":{"noteIndex":0},"schema":"https://github.com/citation-style-language/schema/raw/master/csl-citation.json"}</w:instrText>
      </w:r>
      <w:r w:rsidR="00EC056C">
        <w:rPr>
          <w:spacing w:val="-1"/>
          <w:sz w:val="24"/>
          <w:szCs w:val="24"/>
        </w:rPr>
        <w:fldChar w:fldCharType="separate"/>
      </w:r>
      <w:r w:rsidR="00EC056C" w:rsidRPr="00EC056C">
        <w:rPr>
          <w:noProof/>
          <w:spacing w:val="-1"/>
          <w:sz w:val="24"/>
          <w:szCs w:val="24"/>
        </w:rPr>
        <w:t>(Yudho &amp; Wignjosoebroto, 2002)</w:t>
      </w:r>
      <w:r w:rsidR="00EC056C">
        <w:rPr>
          <w:spacing w:val="-1"/>
          <w:sz w:val="24"/>
          <w:szCs w:val="24"/>
        </w:rPr>
        <w:fldChar w:fldCharType="end"/>
      </w:r>
      <w:r w:rsidR="00EC056C">
        <w:rPr>
          <w:spacing w:val="-1"/>
          <w:sz w:val="24"/>
          <w:szCs w:val="24"/>
        </w:rPr>
        <w:t xml:space="preserve">. </w:t>
      </w:r>
    </w:p>
    <w:p w14:paraId="0C227CBB" w14:textId="261EC4E2" w:rsidR="00EC056C" w:rsidRDefault="00E20928" w:rsidP="00EC056C">
      <w:pPr>
        <w:spacing w:line="276" w:lineRule="auto"/>
        <w:ind w:right="98" w:firstLine="567"/>
        <w:jc w:val="both"/>
        <w:rPr>
          <w:spacing w:val="-1"/>
          <w:sz w:val="24"/>
          <w:szCs w:val="24"/>
        </w:rPr>
      </w:pPr>
      <w:r w:rsidRPr="00E20928">
        <w:rPr>
          <w:spacing w:val="-1"/>
          <w:sz w:val="24"/>
          <w:szCs w:val="24"/>
        </w:rPr>
        <w:t xml:space="preserve">Justice is not merely an abstract </w:t>
      </w:r>
      <w:r w:rsidR="00EC056C" w:rsidRPr="00E20928">
        <w:rPr>
          <w:spacing w:val="-1"/>
          <w:sz w:val="24"/>
          <w:szCs w:val="24"/>
        </w:rPr>
        <w:t>concept but</w:t>
      </w:r>
      <w:r w:rsidRPr="00E20928">
        <w:rPr>
          <w:spacing w:val="-1"/>
          <w:sz w:val="24"/>
          <w:szCs w:val="24"/>
        </w:rPr>
        <w:t xml:space="preserve"> must be felt by society. In the context of managing natural resources, the uncertainties arising from policy changes, such as the discourse on replacing ASR, can harm both investors and the broader community. Therefore, to achieve justice in the law, clear and consistent regulations are needed, which not only benefit specific parties, but also guarantee the rights and interests of all involved parties. Clarity in regulations and legal certainty are crucial to creating a positive investment climate, ensuring that the potential of natural resources can be managed optimally for the welfare of society</w:t>
      </w:r>
      <w:r w:rsidR="00EC056C">
        <w:rPr>
          <w:spacing w:val="-1"/>
          <w:sz w:val="24"/>
          <w:szCs w:val="24"/>
        </w:rPr>
        <w:t xml:space="preserve"> </w:t>
      </w:r>
      <w:r w:rsidR="00EC056C">
        <w:rPr>
          <w:spacing w:val="-1"/>
          <w:sz w:val="24"/>
          <w:szCs w:val="24"/>
        </w:rPr>
        <w:fldChar w:fldCharType="begin" w:fldLock="1"/>
      </w:r>
      <w:r w:rsidR="00EC056C">
        <w:rPr>
          <w:spacing w:val="-1"/>
          <w:sz w:val="24"/>
          <w:szCs w:val="24"/>
        </w:rPr>
        <w:instrText>ADDIN CSL_CITATION {"citationItems":[{"id":"ITEM-1","itemData":{"author":[{"dropping-particle":"","family":"Rahardjo","given":"Satjipto","non-dropping-particle":"","parse-names":false,"suffix":""}],"id":"ITEM-1","issued":{"date-parts":[["2009"]]},"publisher":"Genta Publishing","title":"Penegakan hukum: suatu tinjauan sosiologis","type":"article-journal"},"uris":["http://www.mendeley.com/documents/?uuid=68c1332f-61ce-43ed-8abf-95123a17c391"]}],"mendeley":{"formattedCitation":"(Rahardjo, 2009)","plainTextFormattedCitation":"(Rahardjo, 2009)","previouslyFormattedCitation":"(Rahardjo, 2009)"},"properties":{"noteIndex":0},"schema":"https://github.com/citation-style-language/schema/raw/master/csl-citation.json"}</w:instrText>
      </w:r>
      <w:r w:rsidR="00EC056C">
        <w:rPr>
          <w:spacing w:val="-1"/>
          <w:sz w:val="24"/>
          <w:szCs w:val="24"/>
        </w:rPr>
        <w:fldChar w:fldCharType="separate"/>
      </w:r>
      <w:r w:rsidR="00EC056C" w:rsidRPr="00EC056C">
        <w:rPr>
          <w:noProof/>
          <w:spacing w:val="-1"/>
          <w:sz w:val="24"/>
          <w:szCs w:val="24"/>
        </w:rPr>
        <w:t>(Rahardjo, 2009)</w:t>
      </w:r>
      <w:r w:rsidR="00EC056C">
        <w:rPr>
          <w:spacing w:val="-1"/>
          <w:sz w:val="24"/>
          <w:szCs w:val="24"/>
        </w:rPr>
        <w:fldChar w:fldCharType="end"/>
      </w:r>
      <w:r w:rsidR="00EC056C">
        <w:rPr>
          <w:spacing w:val="-1"/>
          <w:sz w:val="24"/>
          <w:szCs w:val="24"/>
        </w:rPr>
        <w:t>.</w:t>
      </w:r>
      <w:r w:rsidRPr="00E20928">
        <w:rPr>
          <w:spacing w:val="-1"/>
          <w:sz w:val="24"/>
          <w:szCs w:val="24"/>
        </w:rPr>
        <w:t xml:space="preserve"> In Indonesia's national law, the concepts of law and justice are closely tied to the culture and values found in Pancasila. </w:t>
      </w:r>
      <w:proofErr w:type="spellStart"/>
      <w:r w:rsidRPr="00E20928">
        <w:rPr>
          <w:spacing w:val="-1"/>
          <w:sz w:val="24"/>
          <w:szCs w:val="24"/>
        </w:rPr>
        <w:t>Sudjito</w:t>
      </w:r>
      <w:proofErr w:type="spellEnd"/>
      <w:r w:rsidRPr="00E20928">
        <w:rPr>
          <w:spacing w:val="-1"/>
          <w:sz w:val="24"/>
          <w:szCs w:val="24"/>
        </w:rPr>
        <w:t xml:space="preserve"> states that national law will be able to create justice if it is based on a holistic approach referring to the values of Pancasila. This indicates that in legal development, it is essential to consider the culture and ideology underpinning the nation</w:t>
      </w:r>
      <w:r w:rsidR="00EC056C">
        <w:rPr>
          <w:spacing w:val="-1"/>
          <w:sz w:val="24"/>
          <w:szCs w:val="24"/>
        </w:rPr>
        <w:t xml:space="preserve"> </w:t>
      </w:r>
      <w:r w:rsidR="00EC056C">
        <w:rPr>
          <w:spacing w:val="-1"/>
          <w:sz w:val="24"/>
          <w:szCs w:val="24"/>
        </w:rPr>
        <w:fldChar w:fldCharType="begin" w:fldLock="1"/>
      </w:r>
      <w:r w:rsidR="00EC056C">
        <w:rPr>
          <w:spacing w:val="-1"/>
          <w:sz w:val="24"/>
          <w:szCs w:val="24"/>
        </w:rPr>
        <w:instrText>ADDIN CSL_CITATION {"citationItems":[{"id":"ITEM-1","itemData":{"ISBN":"0521853923","author":[{"dropping-particle":"","family":"Mandle","given":"Jon","non-dropping-particle":"","parse-names":false,"suffix":""}],"id":"ITEM-1","issued":{"date-parts":[["2009"]]},"publisher":"Cambridge University Press","title":"Rawls's' A theory of justice': An introduction","type":"book"},"uris":["http://www.mendeley.com/documents/?uuid=9fc07c70-f58d-4576-8b16-a23324245b8f"]}],"mendeley":{"formattedCitation":"(Mandle, 2009)","plainTextFormattedCitation":"(Mandle, 2009)","previouslyFormattedCitation":"(Mandle, 2009)"},"properties":{"noteIndex":0},"schema":"https://github.com/citation-style-language/schema/raw/master/csl-citation.json"}</w:instrText>
      </w:r>
      <w:r w:rsidR="00EC056C">
        <w:rPr>
          <w:spacing w:val="-1"/>
          <w:sz w:val="24"/>
          <w:szCs w:val="24"/>
        </w:rPr>
        <w:fldChar w:fldCharType="separate"/>
      </w:r>
      <w:r w:rsidR="00EC056C" w:rsidRPr="00EC056C">
        <w:rPr>
          <w:noProof/>
          <w:spacing w:val="-1"/>
          <w:sz w:val="24"/>
          <w:szCs w:val="24"/>
        </w:rPr>
        <w:t>(Mandle, 2009)</w:t>
      </w:r>
      <w:r w:rsidR="00EC056C">
        <w:rPr>
          <w:spacing w:val="-1"/>
          <w:sz w:val="24"/>
          <w:szCs w:val="24"/>
        </w:rPr>
        <w:fldChar w:fldCharType="end"/>
      </w:r>
      <w:r w:rsidR="00EC056C">
        <w:rPr>
          <w:spacing w:val="-1"/>
          <w:sz w:val="24"/>
          <w:szCs w:val="24"/>
        </w:rPr>
        <w:t>.</w:t>
      </w:r>
      <w:r w:rsidRPr="00E20928">
        <w:rPr>
          <w:spacing w:val="-1"/>
          <w:sz w:val="24"/>
          <w:szCs w:val="24"/>
        </w:rPr>
        <w:t xml:space="preserve"> </w:t>
      </w:r>
      <w:r w:rsidRPr="00E20928">
        <w:rPr>
          <w:spacing w:val="-1"/>
          <w:sz w:val="24"/>
          <w:szCs w:val="24"/>
          <w:lang w:val="en-ID"/>
        </w:rPr>
        <w:t xml:space="preserve">In the regulation of post-operation funds for upstream oil and gas activities, as stipulated by the Minister of Energy and Mineral Resources Regulation No. 15 of 2018, it appears that it does not provide fairness for investors. They are required to provide significant funds for post-operation activities, which could be considered a heavy burden. This provision has the potential to obstruct opportunities for society to engage in upstream oil and gas ventures, which should be accessible to every citizen. </w:t>
      </w:r>
    </w:p>
    <w:p w14:paraId="7B119BB7" w14:textId="77777777" w:rsidR="00EC056C" w:rsidRDefault="00E20928" w:rsidP="00EC056C">
      <w:pPr>
        <w:spacing w:line="276" w:lineRule="auto"/>
        <w:ind w:right="98" w:firstLine="567"/>
        <w:jc w:val="both"/>
        <w:rPr>
          <w:spacing w:val="-1"/>
          <w:sz w:val="24"/>
          <w:szCs w:val="24"/>
        </w:rPr>
      </w:pPr>
      <w:r w:rsidRPr="00E20928">
        <w:rPr>
          <w:spacing w:val="-1"/>
          <w:sz w:val="24"/>
          <w:szCs w:val="24"/>
          <w:lang w:val="en-ID"/>
        </w:rPr>
        <w:t>Thus, it is essential for the government to evaluate and revise the existing regulations to better reflect the principles of justice and equal opportunity for all citizens. Furthermore, from a legal standpoint, the regulation regarding post-operation funds in the upstream oil and gas business outlined in Article 11 of the Minister of Energy and Mineral Resources Regulation No. 15 of 2018 does not only create injustice but also leads to legal uncertainty.</w:t>
      </w:r>
    </w:p>
    <w:p w14:paraId="102B7EE0" w14:textId="083BD972" w:rsidR="00E20928" w:rsidRPr="00EC056C" w:rsidRDefault="00E20928" w:rsidP="00EC056C">
      <w:pPr>
        <w:spacing w:line="276" w:lineRule="auto"/>
        <w:ind w:right="98" w:firstLine="567"/>
        <w:jc w:val="both"/>
        <w:rPr>
          <w:spacing w:val="-1"/>
          <w:sz w:val="24"/>
          <w:szCs w:val="24"/>
        </w:rPr>
      </w:pPr>
      <w:r w:rsidRPr="00E20928">
        <w:rPr>
          <w:spacing w:val="-1"/>
          <w:sz w:val="24"/>
          <w:szCs w:val="24"/>
          <w:lang w:val="en-ID"/>
        </w:rPr>
        <w:t xml:space="preserve">Law No. 22 of 2001 on Oil and Gas also provides a legal basis for the management of oil and gas in Indonesia. This law outlines the rights and obligations of business actors, including in terms of site recovery post-exploitation. However, there is an inconsistency between the provisions in the law and ministerial regulations, creating confusion and uncertainty among investors. Considering various issues, the reorientation of policies related to ASR becomes crucial. A new policy that is more responsive and inclusive is needed to create </w:t>
      </w:r>
      <w:r w:rsidRPr="00E20928">
        <w:rPr>
          <w:spacing w:val="-1"/>
          <w:sz w:val="24"/>
          <w:szCs w:val="24"/>
          <w:lang w:val="en-ID"/>
        </w:rPr>
        <w:lastRenderedPageBreak/>
        <w:t>a better investment climate while ensuring that environmental responsibilities can be met. Through a more transparent and equitable approach, it is expected that Indonesia's oil and gas sector can grow sustainably, providing greater benefits to society and the national economy.</w:t>
      </w:r>
    </w:p>
    <w:p w14:paraId="7CAB82B7" w14:textId="77777777" w:rsidR="006B34E5" w:rsidRPr="003214E8" w:rsidRDefault="006B34E5" w:rsidP="00471F60">
      <w:pPr>
        <w:spacing w:line="276" w:lineRule="auto"/>
        <w:ind w:right="98"/>
        <w:jc w:val="both"/>
        <w:rPr>
          <w:sz w:val="24"/>
          <w:szCs w:val="24"/>
          <w:lang w:val="en-ID"/>
        </w:rPr>
      </w:pPr>
    </w:p>
    <w:p w14:paraId="07D9FB2F" w14:textId="1FC7F14E" w:rsidR="00A11FF4" w:rsidRDefault="00AA7648" w:rsidP="00471F60">
      <w:pPr>
        <w:pStyle w:val="BodyText"/>
        <w:spacing w:line="276" w:lineRule="auto"/>
        <w:ind w:right="98" w:firstLine="0"/>
        <w:rPr>
          <w:b/>
          <w:sz w:val="24"/>
          <w:szCs w:val="24"/>
        </w:rPr>
      </w:pPr>
      <w:r w:rsidRPr="00AF1EDC">
        <w:rPr>
          <w:b/>
          <w:sz w:val="24"/>
          <w:szCs w:val="24"/>
        </w:rPr>
        <w:t>METHOD</w:t>
      </w:r>
    </w:p>
    <w:p w14:paraId="1CD87194" w14:textId="77777777" w:rsidR="00E20928" w:rsidRPr="00E20928" w:rsidRDefault="00E20928" w:rsidP="00EC056C">
      <w:pPr>
        <w:pStyle w:val="BodyText"/>
        <w:spacing w:line="276" w:lineRule="auto"/>
        <w:ind w:right="98" w:firstLine="567"/>
        <w:rPr>
          <w:sz w:val="24"/>
          <w:szCs w:val="24"/>
          <w:lang w:val="en-ID"/>
        </w:rPr>
      </w:pPr>
      <w:r w:rsidRPr="00E20928">
        <w:rPr>
          <w:sz w:val="24"/>
          <w:szCs w:val="24"/>
          <w:lang w:val="en-ID"/>
        </w:rPr>
        <w:t xml:space="preserve">The methodology used in this study consists of several complementary approaches to produce a comprehensive understanding of Abandonment and Site Restoration (ASR) practices in the oil and gas industry. First, qualitative analysis was conducted on existing regulations, including the Minister of Energy and Mineral Resources Regulation No. 15 of 2018 and Law No. 22 of 2001, to identify the strengths and weaknesses within the legal framework governing ASR. Next, in-depth interviews were conducted with stakeholders, including representatives from oil and gas companies, regulators, and environmental experts, to gain their perspectives on the challenges and opportunities in implementing ASR practices. This process aims to understand how these regulations are applied in the field and to identify issues frequently faced by companies in fulfilling ASR obligations. Additionally, case studies of several companies that have implemented ASR practices were conducted to </w:t>
      </w:r>
      <w:proofErr w:type="spellStart"/>
      <w:r w:rsidRPr="00E20928">
        <w:rPr>
          <w:sz w:val="24"/>
          <w:szCs w:val="24"/>
          <w:lang w:val="en-ID"/>
        </w:rPr>
        <w:t>analyze</w:t>
      </w:r>
      <w:proofErr w:type="spellEnd"/>
      <w:r w:rsidRPr="00E20928">
        <w:rPr>
          <w:sz w:val="24"/>
          <w:szCs w:val="24"/>
          <w:lang w:val="en-ID"/>
        </w:rPr>
        <w:t xml:space="preserve"> effective strategies and obstacles encountered in the execution of site recovery activities.</w:t>
      </w:r>
    </w:p>
    <w:p w14:paraId="76823BFD" w14:textId="77777777" w:rsidR="00377069" w:rsidRPr="003214E8" w:rsidRDefault="00377069" w:rsidP="00471F60">
      <w:pPr>
        <w:pStyle w:val="BodyText"/>
        <w:spacing w:line="276" w:lineRule="auto"/>
        <w:ind w:right="98" w:firstLine="0"/>
        <w:rPr>
          <w:b/>
          <w:sz w:val="24"/>
          <w:szCs w:val="24"/>
          <w:lang w:val="en-ID"/>
        </w:rPr>
      </w:pPr>
    </w:p>
    <w:p w14:paraId="356ED5A1" w14:textId="05CF2319" w:rsidR="00D60B6C" w:rsidRDefault="00AA7648" w:rsidP="00471F60">
      <w:pPr>
        <w:pStyle w:val="BodyText"/>
        <w:spacing w:line="276" w:lineRule="auto"/>
        <w:ind w:right="98" w:firstLine="0"/>
        <w:rPr>
          <w:b/>
          <w:sz w:val="24"/>
          <w:szCs w:val="24"/>
        </w:rPr>
      </w:pPr>
      <w:r w:rsidRPr="00AF1EDC">
        <w:rPr>
          <w:b/>
          <w:sz w:val="24"/>
          <w:szCs w:val="24"/>
        </w:rPr>
        <w:t>RESULTS AND DISCUSSION</w:t>
      </w:r>
    </w:p>
    <w:p w14:paraId="0181809B" w14:textId="77777777" w:rsidR="00F05653" w:rsidRPr="00F05653" w:rsidRDefault="00F05653" w:rsidP="00F05653">
      <w:pPr>
        <w:spacing w:line="276" w:lineRule="auto"/>
        <w:jc w:val="both"/>
        <w:rPr>
          <w:rFonts w:asciiTheme="majorBidi" w:eastAsia="Calibri" w:hAnsiTheme="majorBidi" w:cstheme="majorBidi"/>
          <w:b/>
          <w:bCs/>
          <w:sz w:val="24"/>
          <w:szCs w:val="24"/>
        </w:rPr>
      </w:pPr>
      <w:r w:rsidRPr="00F05653">
        <w:rPr>
          <w:rFonts w:asciiTheme="majorBidi" w:eastAsia="Calibri" w:hAnsiTheme="majorBidi" w:cstheme="majorBidi"/>
          <w:b/>
          <w:bCs/>
          <w:sz w:val="24"/>
          <w:szCs w:val="24"/>
        </w:rPr>
        <w:t>Regulatory Framework for Upstream Oil and Gas Business Activities in Indonesia</w:t>
      </w:r>
    </w:p>
    <w:p w14:paraId="602F5C66" w14:textId="299336F8"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rPr>
        <w:t>Normatively, the exploration and production of oil and gas in Indonesia are currently regulated by Law No. 22 of 2001 on Oil and Gas (Law 22/2001) and two Constitutional Court decisions, namely Decision No. 002/PUU-I/2003 and Decision No. 36/PUU-X/2012</w:t>
      </w:r>
      <w:r w:rsidR="00EC056C">
        <w:rPr>
          <w:rFonts w:asciiTheme="majorBidi" w:eastAsia="Calibri" w:hAnsiTheme="majorBidi" w:cstheme="majorBidi"/>
          <w:sz w:val="24"/>
          <w:szCs w:val="24"/>
        </w:rPr>
        <w:t xml:space="preserve"> </w:t>
      </w:r>
      <w:r w:rsidR="00EC056C">
        <w:rPr>
          <w:rFonts w:asciiTheme="majorBidi" w:eastAsia="Calibri" w:hAnsiTheme="majorBidi" w:cstheme="majorBidi"/>
          <w:sz w:val="24"/>
          <w:szCs w:val="24"/>
        </w:rPr>
        <w:fldChar w:fldCharType="begin" w:fldLock="1"/>
      </w:r>
      <w:r w:rsidR="00EC056C">
        <w:rPr>
          <w:rFonts w:asciiTheme="majorBidi" w:eastAsia="Calibri" w:hAnsiTheme="majorBidi" w:cstheme="majorBidi"/>
          <w:sz w:val="24"/>
          <w:szCs w:val="24"/>
        </w:rPr>
        <w:instrText>ADDIN CSL_CITATION {"citationItems":[{"id":"ITEM-1","itemData":{"ISSN":"1754-9965","author":[{"dropping-particle":"","family":"Yuniza","given":"Mailinda Eka","non-dropping-particle":"","parse-names":false,"suffix":""},{"dropping-particle":"","family":"Widyaparaga","given":"Adhika","non-dropping-particle":"","parse-names":false,"suffix":""},{"dropping-particle":"","family":"Wicaksono","given":"Rifky","non-dropping-particle":"","parse-names":false,"suffix":""},{"dropping-particle":"","family":"Krisnadevi","given":"Putu Shanti","non-dropping-particle":"","parse-names":false,"suffix":""}],"container-title":"The Journal of World Energy Law &amp; Business","id":"ITEM-1","issue":"5","issued":{"date-parts":[["2016"]]},"page":"388-409","publisher":"Oxford University Press","title":"Natural gas aggregation and the opportunity for synchronization under Indonesian law","type":"article-journal","volume":"9"},"uris":["http://www.mendeley.com/documents/?uuid=a8f1953f-5de9-4011-926c-f7a5e5a49a94"]}],"mendeley":{"formattedCitation":"(Yuniza, Widyaparaga, et al., 2016)","plainTextFormattedCitation":"(Yuniza, Widyaparaga, et al., 2016)","previouslyFormattedCitation":"(Yuniza, Widyaparaga, et al., 2016)"},"properties":{"noteIndex":0},"schema":"https://github.com/citation-style-language/schema/raw/master/csl-citation.json"}</w:instrText>
      </w:r>
      <w:r w:rsidR="00EC056C">
        <w:rPr>
          <w:rFonts w:asciiTheme="majorBidi" w:eastAsia="Calibri" w:hAnsiTheme="majorBidi" w:cstheme="majorBidi"/>
          <w:sz w:val="24"/>
          <w:szCs w:val="24"/>
        </w:rPr>
        <w:fldChar w:fldCharType="separate"/>
      </w:r>
      <w:r w:rsidR="00EC056C" w:rsidRPr="00EC056C">
        <w:rPr>
          <w:rFonts w:asciiTheme="majorBidi" w:eastAsia="Calibri" w:hAnsiTheme="majorBidi" w:cstheme="majorBidi"/>
          <w:noProof/>
          <w:sz w:val="24"/>
          <w:szCs w:val="24"/>
        </w:rPr>
        <w:t>(Yuniza, Widyaparaga, et al., 2016)</w:t>
      </w:r>
      <w:r w:rsidR="00EC056C">
        <w:rPr>
          <w:rFonts w:asciiTheme="majorBidi" w:eastAsia="Calibri" w:hAnsiTheme="majorBidi" w:cstheme="majorBidi"/>
          <w:sz w:val="24"/>
          <w:szCs w:val="24"/>
        </w:rPr>
        <w:fldChar w:fldCharType="end"/>
      </w:r>
      <w:r w:rsidRPr="00F05653">
        <w:rPr>
          <w:rFonts w:asciiTheme="majorBidi" w:eastAsia="Calibri" w:hAnsiTheme="majorBidi" w:cstheme="majorBidi"/>
          <w:sz w:val="24"/>
          <w:szCs w:val="24"/>
        </w:rPr>
        <w:t xml:space="preserve">. </w:t>
      </w:r>
      <w:r w:rsidRPr="00F05653">
        <w:rPr>
          <w:rFonts w:asciiTheme="majorBidi" w:eastAsia="Calibri" w:hAnsiTheme="majorBidi" w:cstheme="majorBidi"/>
          <w:sz w:val="24"/>
          <w:szCs w:val="24"/>
          <w:lang w:val="en-ID"/>
        </w:rPr>
        <w:t xml:space="preserve">In the considerations of the law, it is mentioned that oil and gas are strategic natural resources and vital commodities that significantly impact the lives of many people. As such, the oil and gas sector </w:t>
      </w:r>
      <w:r w:rsidR="00EC056C" w:rsidRPr="00F05653">
        <w:rPr>
          <w:rFonts w:asciiTheme="majorBidi" w:eastAsia="Calibri" w:hAnsiTheme="majorBidi" w:cstheme="majorBidi"/>
          <w:sz w:val="24"/>
          <w:szCs w:val="24"/>
          <w:lang w:val="en-ID"/>
        </w:rPr>
        <w:t>play</w:t>
      </w:r>
      <w:r w:rsidRPr="00F05653">
        <w:rPr>
          <w:rFonts w:asciiTheme="majorBidi" w:eastAsia="Calibri" w:hAnsiTheme="majorBidi" w:cstheme="majorBidi"/>
          <w:sz w:val="24"/>
          <w:szCs w:val="24"/>
          <w:lang w:val="en-ID"/>
        </w:rPr>
        <w:t xml:space="preserve"> an important role in the national economy and must be managed well to ensure the welfare of the people.</w:t>
      </w:r>
    </w:p>
    <w:p w14:paraId="13F8A7B3" w14:textId="75744063"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Law 22/2001 emphasizes that the control of oil and gas resources lies with the state. The management is entrusted to the government as the holder of mining authority. In this context, the government subsequently formed an Implementing Agency responsible for overseeing resource management activities. This aims to ensure all activities in the oil and gas sector are conducted efficiently and effectively, while prioritizing community interests</w:t>
      </w:r>
      <w:r w:rsidR="00EC056C">
        <w:rPr>
          <w:rFonts w:asciiTheme="majorBidi" w:eastAsia="Calibri" w:hAnsiTheme="majorBidi" w:cstheme="majorBidi"/>
          <w:sz w:val="24"/>
          <w:szCs w:val="24"/>
        </w:rPr>
        <w:t xml:space="preserve"> </w:t>
      </w:r>
      <w:r w:rsidR="00EC056C">
        <w:rPr>
          <w:rFonts w:asciiTheme="majorBidi" w:eastAsia="Calibri" w:hAnsiTheme="majorBidi" w:cstheme="majorBidi"/>
          <w:sz w:val="24"/>
          <w:szCs w:val="24"/>
        </w:rPr>
        <w:fldChar w:fldCharType="begin" w:fldLock="1"/>
      </w:r>
      <w:r w:rsidR="00EC056C">
        <w:rPr>
          <w:rFonts w:asciiTheme="majorBidi" w:eastAsia="Calibri" w:hAnsiTheme="majorBidi" w:cstheme="majorBidi"/>
          <w:sz w:val="24"/>
          <w:szCs w:val="24"/>
        </w:rPr>
        <w:instrText>ADDIN CSL_CITATION {"citationItems":[{"id":"ITEM-1","itemData":{"ISSN":"1754-9957","author":[{"dropping-particle":"","family":"Yuniza","given":"Mailinda Eka","non-dropping-particle":"","parse-names":false,"suffix":""},{"dropping-particle":"","family":"Triatmodjo","given":"Marsudi","non-dropping-particle":"","parse-names":false,"suffix":""},{"dropping-particle":"","family":"Evania","given":"Rizkia","non-dropping-particle":"","parse-names":false,"suffix":""}],"container-title":"The Journal of World Energy Law &amp; Business","id":"ITEM-1","issue":"2","issued":{"date-parts":[["2016"]]},"page":"124-134","publisher":"The Association of International Petroleum Negotiators (AIPN)","title":"Gas governance in Indonesia","type":"article-journal","volume":"9"},"uris":["http://www.mendeley.com/documents/?uuid=5b086bfb-4910-41cc-af82-300561d59f62"]}],"mendeley":{"formattedCitation":"(Yuniza, Triatmodjo, et al., 2016)","plainTextFormattedCitation":"(Yuniza, Triatmodjo, et al., 2016)","previouslyFormattedCitation":"(Yuniza, Triatmodjo, et al., 2016)"},"properties":{"noteIndex":0},"schema":"https://github.com/citation-style-language/schema/raw/master/csl-citation.json"}</w:instrText>
      </w:r>
      <w:r w:rsidR="00EC056C">
        <w:rPr>
          <w:rFonts w:asciiTheme="majorBidi" w:eastAsia="Calibri" w:hAnsiTheme="majorBidi" w:cstheme="majorBidi"/>
          <w:sz w:val="24"/>
          <w:szCs w:val="24"/>
        </w:rPr>
        <w:fldChar w:fldCharType="separate"/>
      </w:r>
      <w:r w:rsidR="00EC056C" w:rsidRPr="00EC056C">
        <w:rPr>
          <w:rFonts w:asciiTheme="majorBidi" w:eastAsia="Calibri" w:hAnsiTheme="majorBidi" w:cstheme="majorBidi"/>
          <w:noProof/>
          <w:sz w:val="24"/>
          <w:szCs w:val="24"/>
        </w:rPr>
        <w:t>(Yuniza, Triatmodjo, et al., 2016)</w:t>
      </w:r>
      <w:r w:rsidR="00EC056C">
        <w:rPr>
          <w:rFonts w:asciiTheme="majorBidi" w:eastAsia="Calibri" w:hAnsiTheme="majorBidi" w:cstheme="majorBidi"/>
          <w:sz w:val="24"/>
          <w:szCs w:val="24"/>
        </w:rPr>
        <w:fldChar w:fldCharType="end"/>
      </w:r>
      <w:r w:rsidR="00EC056C">
        <w:rPr>
          <w:rFonts w:asciiTheme="majorBidi" w:eastAsia="Calibri" w:hAnsiTheme="majorBidi" w:cstheme="majorBidi"/>
          <w:sz w:val="24"/>
          <w:szCs w:val="24"/>
        </w:rPr>
        <w:t>.</w:t>
      </w:r>
    </w:p>
    <w:p w14:paraId="45463985"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Over time, the provisions regarding the Implementing Agency have undergone judicial reviews at the Constitutional Court (MK). The relevant decision regarding the Oil and Gas Implementing Agency came from MK Decision No. 36/PUU-X/2012. In its decision, MK stated that "all matters related to the Implementing Agency are contrary to the 1945 Constitution of the Republic of Indonesia and have no binding legal force." As a result of this decision, the functions and responsibilities of the Oil and Gas Implementing Agency are now carried out by the Government.</w:t>
      </w:r>
    </w:p>
    <w:p w14:paraId="321985B3"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 xml:space="preserve">Since 2012, in response to the material testing of Law No. 22 of 2001, the Implementing Agency has been replaced by the Special Task Force for Upstream Oil and Gas Business (SKK </w:t>
      </w:r>
      <w:proofErr w:type="spellStart"/>
      <w:r w:rsidRPr="00F05653">
        <w:rPr>
          <w:rFonts w:asciiTheme="majorBidi" w:eastAsia="Calibri" w:hAnsiTheme="majorBidi" w:cstheme="majorBidi"/>
          <w:sz w:val="24"/>
          <w:szCs w:val="24"/>
          <w:lang w:val="en-ID"/>
        </w:rPr>
        <w:t>Migas</w:t>
      </w:r>
      <w:proofErr w:type="spellEnd"/>
      <w:r w:rsidRPr="00F05653">
        <w:rPr>
          <w:rFonts w:asciiTheme="majorBidi" w:eastAsia="Calibri" w:hAnsiTheme="majorBidi" w:cstheme="majorBidi"/>
          <w:sz w:val="24"/>
          <w:szCs w:val="24"/>
          <w:lang w:val="en-ID"/>
        </w:rPr>
        <w:t xml:space="preserve">). This change is regulated under Presidential Regulation No. 9 of 2013 concerning the Organization of Management of Upstream Oil and Gas Business Activities. This Presidential </w:t>
      </w:r>
      <w:r w:rsidRPr="00F05653">
        <w:rPr>
          <w:rFonts w:asciiTheme="majorBidi" w:eastAsia="Calibri" w:hAnsiTheme="majorBidi" w:cstheme="majorBidi"/>
          <w:sz w:val="24"/>
          <w:szCs w:val="24"/>
          <w:lang w:val="en-ID"/>
        </w:rPr>
        <w:lastRenderedPageBreak/>
        <w:t>Regulation was later amended by Presidential Regulation No. 36 of 2018, which revised some provisions in Presidential Regulation No. 9 of 2013 regarding oil and gas business management.</w:t>
      </w:r>
    </w:p>
    <w:p w14:paraId="182AEA76" w14:textId="0F45F974"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Besides regulating the Implementing Agency, Law 22/2001 also specifies provisions concerning cooperation contracts</w:t>
      </w:r>
      <w:r w:rsidR="00EC056C">
        <w:rPr>
          <w:rFonts w:asciiTheme="majorBidi" w:eastAsia="Calibri" w:hAnsiTheme="majorBidi" w:cstheme="majorBidi"/>
          <w:sz w:val="24"/>
          <w:szCs w:val="24"/>
        </w:rPr>
        <w:t xml:space="preserve"> </w:t>
      </w:r>
      <w:r w:rsidR="00EC056C">
        <w:rPr>
          <w:rFonts w:asciiTheme="majorBidi" w:eastAsia="Calibri" w:hAnsiTheme="majorBidi" w:cstheme="majorBidi"/>
          <w:sz w:val="24"/>
          <w:szCs w:val="24"/>
        </w:rPr>
        <w:fldChar w:fldCharType="begin" w:fldLock="1"/>
      </w:r>
      <w:r w:rsidR="00EC056C">
        <w:rPr>
          <w:rFonts w:asciiTheme="majorBidi" w:eastAsia="Calibri" w:hAnsiTheme="majorBidi" w:cstheme="majorBidi"/>
          <w:sz w:val="24"/>
          <w:szCs w:val="24"/>
        </w:rPr>
        <w:instrText>ADDIN CSL_CITATION {"citationItems":[{"id":"ITEM-1","itemData":{"ISSN":"2406-7385","author":[{"dropping-particle":"","family":"Kurniawan","given":"Faizal","non-dropping-particle":"","parse-names":false,"suffix":""}],"container-title":"Perspektif","id":"ITEM-1","issue":"2","issued":{"date-parts":[["2013"]]},"page":"74-85","title":"Bentuk Perlindungan Hukum Terhadap Kekayaan Minyak Dan Gas Bumi Sebagai Aset Negara Melalui Instrumen Kontrak","type":"article-journal","volume":"18"},"uris":["http://www.mendeley.com/documents/?uuid=120d01cb-3522-4a22-a387-d711655014f6"]}],"mendeley":{"formattedCitation":"(Kurniawan, 2013)","plainTextFormattedCitation":"(Kurniawan, 2013)","previouslyFormattedCitation":"(Kurniawan, 2013)"},"properties":{"noteIndex":0},"schema":"https://github.com/citation-style-language/schema/raw/master/csl-citation.json"}</w:instrText>
      </w:r>
      <w:r w:rsidR="00EC056C">
        <w:rPr>
          <w:rFonts w:asciiTheme="majorBidi" w:eastAsia="Calibri" w:hAnsiTheme="majorBidi" w:cstheme="majorBidi"/>
          <w:sz w:val="24"/>
          <w:szCs w:val="24"/>
        </w:rPr>
        <w:fldChar w:fldCharType="separate"/>
      </w:r>
      <w:r w:rsidR="00EC056C" w:rsidRPr="00EC056C">
        <w:rPr>
          <w:rFonts w:asciiTheme="majorBidi" w:eastAsia="Calibri" w:hAnsiTheme="majorBidi" w:cstheme="majorBidi"/>
          <w:noProof/>
          <w:sz w:val="24"/>
          <w:szCs w:val="24"/>
        </w:rPr>
        <w:t>(Kurniawan, 2013)</w:t>
      </w:r>
      <w:r w:rsidR="00EC056C">
        <w:rPr>
          <w:rFonts w:asciiTheme="majorBidi" w:eastAsia="Calibri" w:hAnsiTheme="majorBidi" w:cstheme="majorBidi"/>
          <w:sz w:val="24"/>
          <w:szCs w:val="24"/>
        </w:rPr>
        <w:fldChar w:fldCharType="end"/>
      </w:r>
      <w:r w:rsidRPr="00F05653">
        <w:rPr>
          <w:rFonts w:asciiTheme="majorBidi" w:eastAsia="Calibri" w:hAnsiTheme="majorBidi" w:cstheme="majorBidi"/>
          <w:sz w:val="24"/>
          <w:szCs w:val="24"/>
        </w:rPr>
        <w:t>. Article 6 paragraph (1) of Law 22/2001 states that upstream oil and gas business activities are conducted and managed through cooperation contracts. These contracts must include at least certain stipulated requirements such as:</w:t>
      </w:r>
    </w:p>
    <w:p w14:paraId="417180D1" w14:textId="77777777" w:rsidR="00F05653" w:rsidRPr="00F05653" w:rsidRDefault="00F05653" w:rsidP="00F05653">
      <w:pPr>
        <w:numPr>
          <w:ilvl w:val="0"/>
          <w:numId w:val="49"/>
        </w:numPr>
        <w:spacing w:after="160" w:line="276" w:lineRule="auto"/>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ownership of natural resources remains in government hands until the point of </w:t>
      </w:r>
      <w:proofErr w:type="gramStart"/>
      <w:r w:rsidRPr="00F05653">
        <w:rPr>
          <w:rFonts w:asciiTheme="majorBidi" w:eastAsia="Calibri" w:hAnsiTheme="majorBidi" w:cstheme="majorBidi"/>
          <w:sz w:val="24"/>
          <w:szCs w:val="24"/>
        </w:rPr>
        <w:t>transfer;</w:t>
      </w:r>
      <w:proofErr w:type="gramEnd"/>
    </w:p>
    <w:p w14:paraId="3A67A47F" w14:textId="77777777" w:rsidR="00F05653" w:rsidRPr="00F05653" w:rsidRDefault="00F05653" w:rsidP="00F05653">
      <w:pPr>
        <w:numPr>
          <w:ilvl w:val="0"/>
          <w:numId w:val="49"/>
        </w:numPr>
        <w:spacing w:after="160" w:line="276" w:lineRule="auto"/>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management controls over operations conducted by the Implementing </w:t>
      </w:r>
      <w:proofErr w:type="gramStart"/>
      <w:r w:rsidRPr="00F05653">
        <w:rPr>
          <w:rFonts w:asciiTheme="majorBidi" w:eastAsia="Calibri" w:hAnsiTheme="majorBidi" w:cstheme="majorBidi"/>
          <w:sz w:val="24"/>
          <w:szCs w:val="24"/>
        </w:rPr>
        <w:t>Agency;</w:t>
      </w:r>
      <w:proofErr w:type="gramEnd"/>
    </w:p>
    <w:p w14:paraId="351E7C6C" w14:textId="77777777" w:rsidR="00F05653" w:rsidRPr="00F05653" w:rsidRDefault="00F05653" w:rsidP="00F05653">
      <w:pPr>
        <w:numPr>
          <w:ilvl w:val="0"/>
          <w:numId w:val="49"/>
        </w:numPr>
        <w:spacing w:after="160" w:line="276" w:lineRule="auto"/>
        <w:jc w:val="both"/>
        <w:rPr>
          <w:rFonts w:asciiTheme="majorBidi" w:eastAsia="Calibri" w:hAnsiTheme="majorBidi" w:cstheme="majorBidi"/>
          <w:sz w:val="24"/>
          <w:szCs w:val="24"/>
        </w:rPr>
      </w:pPr>
      <w:r w:rsidRPr="00F05653">
        <w:rPr>
          <w:rFonts w:asciiTheme="majorBidi" w:eastAsia="Calibri" w:hAnsiTheme="majorBidi" w:cstheme="majorBidi"/>
          <w:sz w:val="24"/>
          <w:szCs w:val="24"/>
        </w:rPr>
        <w:t>capital and risks are entirely borne by the Business Entities or Permanent Establishments.</w:t>
      </w:r>
    </w:p>
    <w:p w14:paraId="7B0652C2" w14:textId="584A30DF" w:rsidR="00F05653" w:rsidRPr="00F05653" w:rsidRDefault="00F05653" w:rsidP="00EC056C">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To implement the provisions of Law No. 22/2001, the government issued Government Regulation No. 35 of 2004 (PP 35/2004) which regulates Upstream Oil and Gas Business Activities. This regulation consists of 14 chapters and 105 articles that provide more detailed explanations regarding the implementation of the upstream oil and gas industry. PP 35/2004 covers various aspects, including regulations concerning contractors, cooperation contracts, and working areas.</w:t>
      </w:r>
    </w:p>
    <w:p w14:paraId="25F56F7B" w14:textId="3141CA82" w:rsidR="00F05653" w:rsidRPr="00F05653" w:rsidRDefault="00F05653" w:rsidP="00EC056C">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In PP 35/2004, specifically in Article 1, paragraph 6, it is stated that a contractor is "a Business Entity or Permanent Establishment authorized to carry out exploration and exploitation in a working area based on a cooperation contract with the Implementing Agency." This definition indicates that contractors play an important role in the upstream oil and gas industry, serving as parties with the authority to conduct exploration and exploitation activities of oil and gas resources.</w:t>
      </w:r>
    </w:p>
    <w:p w14:paraId="6914F509" w14:textId="44029B7E" w:rsidR="00F05653" w:rsidRPr="00F05653" w:rsidRDefault="00F05653" w:rsidP="00EC056C">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Furthermore, the provisions regarding contractors are clarified in Article 24. Article 24, paragraph (1), stipulates that "Upstream Business Activities shall be conducted by a Business Entity or Permanent Establishment based on a Cooperation Contract with the Implementing Agency." This reinforces the notion that the execution of upstream oil and gas business activities not only depends on the authority of contractors but must also adhere to the formal agreements established in the cooperation contracts with the Implementing Agency.</w:t>
      </w:r>
    </w:p>
    <w:p w14:paraId="64093FDF"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The definition of a contractor as a business entity or permanent establishment refers to the provisions outlined in Article 1, paragraphs 17 and 18 of Law No. 22/2001. In Article 1, paragraph 17, a Business Entity (BU) is described as "a legal entity company that operates a type of business continuously and established in accordance with the applicable laws and regulations, as well as operating and domiciled in the territory of the Unitary State of the Republic of Indonesia." Meanwhile, Permanent Establishment (BUT) is regulated in Article 1, paragraph 18 of Law No. 22/2001, which states:</w:t>
      </w:r>
    </w:p>
    <w:p w14:paraId="51E4338A"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“Permanent Establishment is a business entity that is established and legally recognized outside the territory of the Unitary State of the Republic of Indonesia, which conducts activities in the territory of the Unitary State of the Republic of Indonesia and is required to comply with the applicable laws and regulations in the Republic of Indonesia."</w:t>
      </w:r>
    </w:p>
    <w:p w14:paraId="3A9A13B1"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lastRenderedPageBreak/>
        <w:t>Each Business Entity (BU) and Permanent Establishment (BUT) can only be granted one working area. If a business entity or permanent establishment operates in more than one working area, a separate legal entity must be formed for each of those areas. This means that if there are BU or BUT in Indonesia managing multiple working areas, their legal entities must be distinct for each working area.</w:t>
      </w:r>
    </w:p>
    <w:p w14:paraId="43F24FFB"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 xml:space="preserve">In addition to regulations concerning contractors, PP 35/2004 also covers other important matters, specifically cooperation contracts and the assets related to upstream oil and gas activities. Article 24, paragraph (2) of PP 35/2004 explains that the requirements for cooperation contracts must include at least </w:t>
      </w:r>
      <w:proofErr w:type="gramStart"/>
      <w:r w:rsidRPr="00F05653">
        <w:rPr>
          <w:rFonts w:asciiTheme="majorBidi" w:eastAsia="Calibri" w:hAnsiTheme="majorBidi" w:cstheme="majorBidi"/>
          <w:sz w:val="24"/>
          <w:szCs w:val="24"/>
          <w:lang w:val="en-ID"/>
        </w:rPr>
        <w:t>a number of</w:t>
      </w:r>
      <w:proofErr w:type="gramEnd"/>
      <w:r w:rsidRPr="00F05653">
        <w:rPr>
          <w:rFonts w:asciiTheme="majorBidi" w:eastAsia="Calibri" w:hAnsiTheme="majorBidi" w:cstheme="majorBidi"/>
          <w:sz w:val="24"/>
          <w:szCs w:val="24"/>
          <w:lang w:val="en-ID"/>
        </w:rPr>
        <w:t xml:space="preserve"> specific provisions, namely: </w:t>
      </w:r>
    </w:p>
    <w:p w14:paraId="41F3327D" w14:textId="77777777" w:rsidR="00F05653" w:rsidRPr="00F05653" w:rsidRDefault="00F05653" w:rsidP="00F05653">
      <w:pPr>
        <w:numPr>
          <w:ilvl w:val="0"/>
          <w:numId w:val="50"/>
        </w:numPr>
        <w:spacing w:after="160" w:line="276" w:lineRule="auto"/>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Ownership of oil and gas resources remains with the government until the point of </w:t>
      </w:r>
      <w:proofErr w:type="gramStart"/>
      <w:r w:rsidRPr="00F05653">
        <w:rPr>
          <w:rFonts w:asciiTheme="majorBidi" w:eastAsia="Calibri" w:hAnsiTheme="majorBidi" w:cstheme="majorBidi"/>
          <w:sz w:val="24"/>
          <w:szCs w:val="24"/>
        </w:rPr>
        <w:t>handover;</w:t>
      </w:r>
      <w:proofErr w:type="gramEnd"/>
    </w:p>
    <w:p w14:paraId="29E4CB3D" w14:textId="77777777" w:rsidR="00F05653" w:rsidRPr="00F05653" w:rsidRDefault="00F05653" w:rsidP="00F05653">
      <w:pPr>
        <w:numPr>
          <w:ilvl w:val="0"/>
          <w:numId w:val="50"/>
        </w:numPr>
        <w:spacing w:after="160" w:line="276" w:lineRule="auto"/>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Management control over the operations conducted by the contractor is held by the Implementing </w:t>
      </w:r>
      <w:proofErr w:type="gramStart"/>
      <w:r w:rsidRPr="00F05653">
        <w:rPr>
          <w:rFonts w:asciiTheme="majorBidi" w:eastAsia="Calibri" w:hAnsiTheme="majorBidi" w:cstheme="majorBidi"/>
          <w:sz w:val="24"/>
          <w:szCs w:val="24"/>
        </w:rPr>
        <w:t>Agency;</w:t>
      </w:r>
      <w:proofErr w:type="gramEnd"/>
    </w:p>
    <w:p w14:paraId="4955B73B" w14:textId="77777777" w:rsidR="00F05653" w:rsidRPr="00F05653" w:rsidRDefault="00F05653" w:rsidP="00F05653">
      <w:pPr>
        <w:numPr>
          <w:ilvl w:val="0"/>
          <w:numId w:val="50"/>
        </w:numPr>
        <w:spacing w:after="160" w:line="276" w:lineRule="auto"/>
        <w:jc w:val="both"/>
        <w:rPr>
          <w:rFonts w:asciiTheme="majorBidi" w:eastAsia="Calibri" w:hAnsiTheme="majorBidi" w:cstheme="majorBidi"/>
          <w:sz w:val="24"/>
          <w:szCs w:val="24"/>
        </w:rPr>
      </w:pPr>
      <w:r w:rsidRPr="00F05653">
        <w:rPr>
          <w:rFonts w:asciiTheme="majorBidi" w:eastAsia="Calibri" w:hAnsiTheme="majorBidi" w:cstheme="majorBidi"/>
          <w:sz w:val="24"/>
          <w:szCs w:val="24"/>
        </w:rPr>
        <w:t>The capital and all risks are borne entirely by the contractor.</w:t>
      </w:r>
    </w:p>
    <w:p w14:paraId="786324A0"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Assets related to upstream oil and gas activities are clearly regulated in Article 78 of Government Regulation No. 35 of 2004, which states that "All goods and equipment directly used in upstream business activities purchased by the contractor become state property, which is managed by the government and administered by the Implementing Agency." This provision emphasizes that upstream oil and gas activities fall under the responsibility of the government, represented by the Implementing Agency (formerly BPMIGAS, now SKK </w:t>
      </w:r>
      <w:proofErr w:type="spellStart"/>
      <w:r w:rsidRPr="00F05653">
        <w:rPr>
          <w:rFonts w:asciiTheme="majorBidi" w:eastAsia="Calibri" w:hAnsiTheme="majorBidi" w:cstheme="majorBidi"/>
          <w:sz w:val="24"/>
          <w:szCs w:val="24"/>
        </w:rPr>
        <w:t>Migas</w:t>
      </w:r>
      <w:proofErr w:type="spellEnd"/>
      <w:r w:rsidRPr="00F05653">
        <w:rPr>
          <w:rFonts w:asciiTheme="majorBidi" w:eastAsia="Calibri" w:hAnsiTheme="majorBidi" w:cstheme="majorBidi"/>
          <w:sz w:val="24"/>
          <w:szCs w:val="24"/>
        </w:rPr>
        <w:t xml:space="preserve">). </w:t>
      </w:r>
    </w:p>
    <w:p w14:paraId="0E81184C"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Based on this provision, there are several important points indicating that the management of upstream oil and gas is in the hands of the government. First, the ownership of natural oil and gas resources is under government control until the point of handover. This means that although the contractor carries out operations, the rights to the resources remain with the state. </w:t>
      </w:r>
    </w:p>
    <w:p w14:paraId="098DCCFE"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Second, the operational management of upstream oil and gas activities is fully conducted by SKK </w:t>
      </w:r>
      <w:proofErr w:type="spellStart"/>
      <w:r w:rsidRPr="00F05653">
        <w:rPr>
          <w:rFonts w:asciiTheme="majorBidi" w:eastAsia="Calibri" w:hAnsiTheme="majorBidi" w:cstheme="majorBidi"/>
          <w:sz w:val="24"/>
          <w:szCs w:val="24"/>
        </w:rPr>
        <w:t>Migas</w:t>
      </w:r>
      <w:proofErr w:type="spellEnd"/>
      <w:r w:rsidRPr="00F05653">
        <w:rPr>
          <w:rFonts w:asciiTheme="majorBidi" w:eastAsia="Calibri" w:hAnsiTheme="majorBidi" w:cstheme="majorBidi"/>
          <w:sz w:val="24"/>
          <w:szCs w:val="24"/>
        </w:rPr>
        <w:t>, which is tasked with overseeing and controlling all activities in this sector. Third, assets that are directly used in upstream activities and purchased by the Business Entity (BU) or Permanent Establishment (BUT) are state property managed by the Implementing Agency. This indicates that although contractors make investments, the assets do not belong to them. Finally, BU or BUT functions as operators responsible for providing capital and bearing risks. They do not have rights over those assets; rather, their role is to carry out operational activities in accordance with the agreed contracts.</w:t>
      </w:r>
    </w:p>
    <w:p w14:paraId="1FFDD44A"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Thus, the role of the government in upstream oil and gas activities, represented by SKK </w:t>
      </w:r>
      <w:proofErr w:type="spellStart"/>
      <w:r w:rsidRPr="00F05653">
        <w:rPr>
          <w:rFonts w:asciiTheme="majorBidi" w:eastAsia="Calibri" w:hAnsiTheme="majorBidi" w:cstheme="majorBidi"/>
          <w:sz w:val="24"/>
          <w:szCs w:val="24"/>
        </w:rPr>
        <w:t>Migas</w:t>
      </w:r>
      <w:proofErr w:type="spellEnd"/>
      <w:r w:rsidRPr="00F05653">
        <w:rPr>
          <w:rFonts w:asciiTheme="majorBidi" w:eastAsia="Calibri" w:hAnsiTheme="majorBidi" w:cstheme="majorBidi"/>
          <w:sz w:val="24"/>
          <w:szCs w:val="24"/>
        </w:rPr>
        <w:t xml:space="preserve">, is highly dominant. The government acts as the "owner" of oil and gas resources, meaning all rights to those resources rest with the state. This demonstrates that control over these vital natural resources is the responsibility of the government to manage in the interest of the people. Additionally, SKK </w:t>
      </w:r>
      <w:proofErr w:type="spellStart"/>
      <w:r w:rsidRPr="00F05653">
        <w:rPr>
          <w:rFonts w:asciiTheme="majorBidi" w:eastAsia="Calibri" w:hAnsiTheme="majorBidi" w:cstheme="majorBidi"/>
          <w:sz w:val="24"/>
          <w:szCs w:val="24"/>
        </w:rPr>
        <w:t>Migas</w:t>
      </w:r>
      <w:proofErr w:type="spellEnd"/>
      <w:r w:rsidRPr="00F05653">
        <w:rPr>
          <w:rFonts w:asciiTheme="majorBidi" w:eastAsia="Calibri" w:hAnsiTheme="majorBidi" w:cstheme="majorBidi"/>
          <w:sz w:val="24"/>
          <w:szCs w:val="24"/>
        </w:rPr>
        <w:t xml:space="preserve"> also functions as the operational manager of upstream activities. This includes oversight, coordination, and the determination of policies necessary to effectively conduct exploration and exploitation activities. In this position, SKK </w:t>
      </w:r>
      <w:proofErr w:type="spellStart"/>
      <w:r w:rsidRPr="00F05653">
        <w:rPr>
          <w:rFonts w:asciiTheme="majorBidi" w:eastAsia="Calibri" w:hAnsiTheme="majorBidi" w:cstheme="majorBidi"/>
          <w:sz w:val="24"/>
          <w:szCs w:val="24"/>
        </w:rPr>
        <w:t>Migas</w:t>
      </w:r>
      <w:proofErr w:type="spellEnd"/>
      <w:r w:rsidRPr="00F05653">
        <w:rPr>
          <w:rFonts w:asciiTheme="majorBidi" w:eastAsia="Calibri" w:hAnsiTheme="majorBidi" w:cstheme="majorBidi"/>
          <w:sz w:val="24"/>
          <w:szCs w:val="24"/>
        </w:rPr>
        <w:t xml:space="preserve"> ensures that all activities in the oil and gas sector are conducted in accordance with applicable regulations and within a clear framework.</w:t>
      </w:r>
    </w:p>
    <w:p w14:paraId="67C5CE35"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lastRenderedPageBreak/>
        <w:t>Furthermore, as the owner of all upstream assets, the government ensures that goods and equipment used in upstream oil and gas activities, purchased by contractors, remain state property. This illustrates that although contractors invest and operate, the assets remain under government control, which serves to protect national interests.</w:t>
      </w:r>
    </w:p>
    <w:p w14:paraId="2A84B15B" w14:textId="7ED24AD2"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rPr>
        <w:t>Objections to the Production Sharing Contract (PSC) system, which relies on a cost recovery mechanism, have prompted the government to implement the Gross Split PSC policy. Under the Cost Recovery system, the government reimburses the operational costs incurred by contractors during the oil and gas exploration and exploitation process</w:t>
      </w:r>
      <w:r w:rsidR="00EC056C">
        <w:rPr>
          <w:rFonts w:asciiTheme="majorBidi" w:eastAsia="Calibri" w:hAnsiTheme="majorBidi" w:cstheme="majorBidi"/>
          <w:sz w:val="24"/>
          <w:szCs w:val="24"/>
        </w:rPr>
        <w:t xml:space="preserve"> </w:t>
      </w:r>
      <w:r w:rsidR="00EC056C">
        <w:rPr>
          <w:rFonts w:asciiTheme="majorBidi" w:eastAsia="Calibri" w:hAnsiTheme="majorBidi" w:cstheme="majorBidi"/>
          <w:sz w:val="24"/>
          <w:szCs w:val="24"/>
        </w:rPr>
        <w:fldChar w:fldCharType="begin" w:fldLock="1"/>
      </w:r>
      <w:r w:rsidR="00EC056C">
        <w:rPr>
          <w:rFonts w:asciiTheme="majorBidi" w:eastAsia="Calibri" w:hAnsiTheme="majorBidi" w:cstheme="majorBidi"/>
          <w:sz w:val="24"/>
          <w:szCs w:val="24"/>
        </w:rPr>
        <w:instrText>ADDIN CSL_CITATION {"citationItems":[{"id":"ITEM-1","itemData":{"ISSN":"2460-4488","author":[{"dropping-particle":"","family":"Tambunan","given":"Maria R U D","non-dropping-particle":"","parse-names":false,"suffix":""},{"dropping-particle":"","family":"Togatorop","given":"Ginda","non-dropping-particle":"","parse-names":false,"suffix":""}],"container-title":"Veritas et Justitia","id":"ITEM-1","issue":"1","issued":{"date-parts":[["2021"]]},"page":"56-90","title":"Dualisme Ketentuan Cost Recovery Sebagai Dasar Pungutan Negara Pada Industri Hulu Migas","type":"article-journal","volume":"7"},"uris":["http://www.mendeley.com/documents/?uuid=b7c4ae05-6e86-45be-b882-52696e42e865"]}],"mendeley":{"formattedCitation":"(Tambunan &amp; Togatorop, 2021)","plainTextFormattedCitation":"(Tambunan &amp; Togatorop, 2021)","previouslyFormattedCitation":"(Tambunan &amp; Togatorop, 2021)"},"properties":{"noteIndex":0},"schema":"https://github.com/citation-style-language/schema/raw/master/csl-citation.json"}</w:instrText>
      </w:r>
      <w:r w:rsidR="00EC056C">
        <w:rPr>
          <w:rFonts w:asciiTheme="majorBidi" w:eastAsia="Calibri" w:hAnsiTheme="majorBidi" w:cstheme="majorBidi"/>
          <w:sz w:val="24"/>
          <w:szCs w:val="24"/>
        </w:rPr>
        <w:fldChar w:fldCharType="separate"/>
      </w:r>
      <w:r w:rsidR="00EC056C" w:rsidRPr="00EC056C">
        <w:rPr>
          <w:rFonts w:asciiTheme="majorBidi" w:eastAsia="Calibri" w:hAnsiTheme="majorBidi" w:cstheme="majorBidi"/>
          <w:noProof/>
          <w:sz w:val="24"/>
          <w:szCs w:val="24"/>
        </w:rPr>
        <w:t>(Tambunan &amp; Togatorop, 2021)</w:t>
      </w:r>
      <w:r w:rsidR="00EC056C">
        <w:rPr>
          <w:rFonts w:asciiTheme="majorBidi" w:eastAsia="Calibri" w:hAnsiTheme="majorBidi" w:cstheme="majorBidi"/>
          <w:sz w:val="24"/>
          <w:szCs w:val="24"/>
        </w:rPr>
        <w:fldChar w:fldCharType="end"/>
      </w:r>
      <w:r w:rsidRPr="00F05653">
        <w:rPr>
          <w:rFonts w:asciiTheme="majorBidi" w:eastAsia="Calibri" w:hAnsiTheme="majorBidi" w:cstheme="majorBidi"/>
          <w:sz w:val="24"/>
          <w:szCs w:val="24"/>
        </w:rPr>
        <w:t xml:space="preserve">. </w:t>
      </w:r>
      <w:r w:rsidRPr="00F05653">
        <w:rPr>
          <w:rFonts w:asciiTheme="majorBidi" w:eastAsia="Calibri" w:hAnsiTheme="majorBidi" w:cstheme="majorBidi"/>
          <w:sz w:val="24"/>
          <w:szCs w:val="24"/>
          <w:lang w:val="en-ID"/>
        </w:rPr>
        <w:t xml:space="preserve">Meanwhile, in the Gross Split system, there are clear provisions regarding profit sharing between the contractor and the government from the outset, where all operational costs are the responsibility of the contractor. However, the implementation of the Gross Split system faces various challenges, especially because the provisions set by the government are still considered premature. The Gross Split cooperation contract system, which is </w:t>
      </w:r>
      <w:proofErr w:type="gramStart"/>
      <w:r w:rsidRPr="00F05653">
        <w:rPr>
          <w:rFonts w:asciiTheme="majorBidi" w:eastAsia="Calibri" w:hAnsiTheme="majorBidi" w:cstheme="majorBidi"/>
          <w:sz w:val="24"/>
          <w:szCs w:val="24"/>
          <w:lang w:val="en-ID"/>
        </w:rPr>
        <w:t>similar to</w:t>
      </w:r>
      <w:proofErr w:type="gramEnd"/>
      <w:r w:rsidRPr="00F05653">
        <w:rPr>
          <w:rFonts w:asciiTheme="majorBidi" w:eastAsia="Calibri" w:hAnsiTheme="majorBidi" w:cstheme="majorBidi"/>
          <w:sz w:val="24"/>
          <w:szCs w:val="24"/>
          <w:lang w:val="en-ID"/>
        </w:rPr>
        <w:t xml:space="preserve"> a tax or royalty system, also recognizes cost recovery or expense reduction, but those figures are predetermined. </w:t>
      </w:r>
      <w:proofErr w:type="spellStart"/>
      <w:r w:rsidRPr="00F05653">
        <w:rPr>
          <w:rFonts w:asciiTheme="majorBidi" w:eastAsia="Calibri" w:hAnsiTheme="majorBidi" w:cstheme="majorBidi"/>
          <w:sz w:val="24"/>
          <w:szCs w:val="24"/>
          <w:lang w:val="en-ID"/>
        </w:rPr>
        <w:t>Rinto</w:t>
      </w:r>
      <w:proofErr w:type="spellEnd"/>
      <w:r w:rsidRPr="00F05653">
        <w:rPr>
          <w:rFonts w:asciiTheme="majorBidi" w:eastAsia="Calibri" w:hAnsiTheme="majorBidi" w:cstheme="majorBidi"/>
          <w:sz w:val="24"/>
          <w:szCs w:val="24"/>
          <w:lang w:val="en-ID"/>
        </w:rPr>
        <w:t xml:space="preserve"> </w:t>
      </w:r>
      <w:proofErr w:type="spellStart"/>
      <w:r w:rsidRPr="00F05653">
        <w:rPr>
          <w:rFonts w:asciiTheme="majorBidi" w:eastAsia="Calibri" w:hAnsiTheme="majorBidi" w:cstheme="majorBidi"/>
          <w:sz w:val="24"/>
          <w:szCs w:val="24"/>
          <w:lang w:val="en-ID"/>
        </w:rPr>
        <w:t>Pudyantoro</w:t>
      </w:r>
      <w:proofErr w:type="spellEnd"/>
      <w:r w:rsidRPr="00F05653">
        <w:rPr>
          <w:rFonts w:asciiTheme="majorBidi" w:eastAsia="Calibri" w:hAnsiTheme="majorBidi" w:cstheme="majorBidi"/>
          <w:sz w:val="24"/>
          <w:szCs w:val="24"/>
          <w:lang w:val="en-ID"/>
        </w:rPr>
        <w:t xml:space="preserve"> stated that misconceptions regarding cost recovery often arise from a misinterpretation that considers upstream oil and gas business to be entirely in the hands of the contractor. In fact, as previously explained, upstream oil and gas business activities are essentially the responsibility of the government</w:t>
      </w:r>
      <w:r w:rsidR="00EC056C">
        <w:rPr>
          <w:rFonts w:asciiTheme="majorBidi" w:eastAsia="Calibri" w:hAnsiTheme="majorBidi" w:cstheme="majorBidi"/>
          <w:sz w:val="24"/>
          <w:szCs w:val="24"/>
        </w:rPr>
        <w:t xml:space="preserve"> </w:t>
      </w:r>
      <w:r w:rsidR="00EC056C">
        <w:rPr>
          <w:rFonts w:asciiTheme="majorBidi" w:eastAsia="Calibri" w:hAnsiTheme="majorBidi" w:cstheme="majorBidi"/>
          <w:sz w:val="24"/>
          <w:szCs w:val="24"/>
        </w:rPr>
        <w:fldChar w:fldCharType="begin" w:fldLock="1"/>
      </w:r>
      <w:r w:rsidR="00EC056C">
        <w:rPr>
          <w:rFonts w:asciiTheme="majorBidi" w:eastAsia="Calibri" w:hAnsiTheme="majorBidi" w:cstheme="majorBidi"/>
          <w:sz w:val="24"/>
          <w:szCs w:val="24"/>
        </w:rPr>
        <w:instrText>ADDIN CSL_CITATION {"citationItems":[{"id":"ITEM-1","itemData":{"author":[{"dropping-particle":"","family":"Yuniza","given":"Mailinda Eka","non-dropping-particle":"","parse-names":false,"suffix":""},{"dropping-particle":"","family":"Rebecca","given":"Aicha Grade","non-dropping-particle":"","parse-names":false,"suffix":""},{"dropping-particle":"","family":"Ramadhaniati","given":"Rahmah Candrika","non-dropping-particle":"","parse-names":false,"suffix":""}],"container-title":"International Journal of Energy Economics and Policy","id":"ITEM-1","issue":"4","issued":{"date-parts":[["2020"]]},"page":"251-257","title":"A necessity or a premature move?: the shift of indonesian production sharing contract in the oil and gas industry","type":"article-journal","volume":"10"},"uris":["http://www.mendeley.com/documents/?uuid=6489ecff-cfa3-47b9-b827-94744ef41ecf"]}],"mendeley":{"formattedCitation":"(Yuniza et al., 2020)","plainTextFormattedCitation":"(Yuniza et al., 2020)","previouslyFormattedCitation":"(Yuniza et al., 2020)"},"properties":{"noteIndex":0},"schema":"https://github.com/citation-style-language/schema/raw/master/csl-citation.json"}</w:instrText>
      </w:r>
      <w:r w:rsidR="00EC056C">
        <w:rPr>
          <w:rFonts w:asciiTheme="majorBidi" w:eastAsia="Calibri" w:hAnsiTheme="majorBidi" w:cstheme="majorBidi"/>
          <w:sz w:val="24"/>
          <w:szCs w:val="24"/>
        </w:rPr>
        <w:fldChar w:fldCharType="separate"/>
      </w:r>
      <w:r w:rsidR="00EC056C" w:rsidRPr="00EC056C">
        <w:rPr>
          <w:rFonts w:asciiTheme="majorBidi" w:eastAsia="Calibri" w:hAnsiTheme="majorBidi" w:cstheme="majorBidi"/>
          <w:noProof/>
          <w:sz w:val="24"/>
          <w:szCs w:val="24"/>
        </w:rPr>
        <w:t>(Yuniza et al., 2020)</w:t>
      </w:r>
      <w:r w:rsidR="00EC056C">
        <w:rPr>
          <w:rFonts w:asciiTheme="majorBidi" w:eastAsia="Calibri" w:hAnsiTheme="majorBidi" w:cstheme="majorBidi"/>
          <w:sz w:val="24"/>
          <w:szCs w:val="24"/>
        </w:rPr>
        <w:fldChar w:fldCharType="end"/>
      </w:r>
      <w:r w:rsidRPr="00F05653">
        <w:rPr>
          <w:rFonts w:asciiTheme="majorBidi" w:eastAsia="Calibri" w:hAnsiTheme="majorBidi" w:cstheme="majorBidi"/>
          <w:sz w:val="24"/>
          <w:szCs w:val="24"/>
        </w:rPr>
        <w:t>.</w:t>
      </w:r>
    </w:p>
    <w:p w14:paraId="3F94AB54" w14:textId="77777777" w:rsidR="00F05653" w:rsidRPr="00F05653" w:rsidRDefault="00F05653" w:rsidP="00F05653">
      <w:pPr>
        <w:spacing w:line="276" w:lineRule="auto"/>
        <w:jc w:val="both"/>
        <w:rPr>
          <w:rFonts w:asciiTheme="majorBidi" w:eastAsia="Calibri" w:hAnsiTheme="majorBidi" w:cstheme="majorBidi"/>
          <w:sz w:val="24"/>
          <w:szCs w:val="24"/>
        </w:rPr>
      </w:pPr>
    </w:p>
    <w:p w14:paraId="457D82FE" w14:textId="77777777" w:rsidR="00F05653" w:rsidRPr="00F05653" w:rsidRDefault="00F05653" w:rsidP="00F05653">
      <w:pPr>
        <w:spacing w:line="276" w:lineRule="auto"/>
        <w:jc w:val="both"/>
        <w:rPr>
          <w:rFonts w:asciiTheme="majorBidi" w:eastAsia="Calibri" w:hAnsiTheme="majorBidi" w:cstheme="majorBidi"/>
          <w:b/>
          <w:bCs/>
          <w:sz w:val="24"/>
          <w:szCs w:val="24"/>
          <w:lang w:val="en-ID"/>
        </w:rPr>
      </w:pPr>
      <w:r w:rsidRPr="00F05653">
        <w:rPr>
          <w:rFonts w:asciiTheme="majorBidi" w:eastAsia="Calibri" w:hAnsiTheme="majorBidi" w:cstheme="majorBidi"/>
          <w:b/>
          <w:bCs/>
          <w:sz w:val="24"/>
          <w:szCs w:val="24"/>
          <w:lang w:val="en-ID"/>
        </w:rPr>
        <w:t>Reconstruction of Abandonment and Site Restoration (ASR) Regulations to Create a Conducive Investment Climate in the Oil and Gas Sector</w:t>
      </w:r>
    </w:p>
    <w:p w14:paraId="7B171D11"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The basic concept of oil and gas mining management in Indonesia is stated in Article 33, paragraph 3 of the 1945 Constitution, which declares that "The earth, water, and natural resources contained therein are controlled by the State and utilized for the greatest prosperity of the people." The authority of the State is further outlined in Article 2, paragraph 2 of Law No. 5 of 1960 on Agrarian Affairs, which includes:</w:t>
      </w:r>
    </w:p>
    <w:p w14:paraId="40C30A5D" w14:textId="77777777" w:rsidR="00F05653" w:rsidRPr="00F05653" w:rsidRDefault="00F05653" w:rsidP="00F05653">
      <w:pPr>
        <w:numPr>
          <w:ilvl w:val="0"/>
          <w:numId w:val="51"/>
        </w:numPr>
        <w:spacing w:after="160" w:line="276" w:lineRule="auto"/>
        <w:jc w:val="both"/>
        <w:rPr>
          <w:rFonts w:asciiTheme="majorBidi" w:eastAsia="Calibri" w:hAnsiTheme="majorBidi" w:cstheme="majorBidi"/>
          <w:sz w:val="24"/>
          <w:szCs w:val="24"/>
        </w:rPr>
      </w:pPr>
      <w:r w:rsidRPr="00F05653">
        <w:rPr>
          <w:rFonts w:asciiTheme="majorBidi" w:eastAsia="Calibri" w:hAnsiTheme="majorBidi" w:cstheme="majorBidi"/>
          <w:sz w:val="24"/>
          <w:szCs w:val="24"/>
        </w:rPr>
        <w:t>Regulating and organizing the allocation, use, availability, and maintenance of the earth, water, and airspace.</w:t>
      </w:r>
    </w:p>
    <w:p w14:paraId="15716EED" w14:textId="77777777" w:rsidR="00F05653" w:rsidRPr="00F05653" w:rsidRDefault="00F05653" w:rsidP="00F05653">
      <w:pPr>
        <w:numPr>
          <w:ilvl w:val="0"/>
          <w:numId w:val="51"/>
        </w:numPr>
        <w:spacing w:after="160" w:line="276" w:lineRule="auto"/>
        <w:jc w:val="both"/>
        <w:rPr>
          <w:rFonts w:asciiTheme="majorBidi" w:eastAsia="Calibri" w:hAnsiTheme="majorBidi" w:cstheme="majorBidi"/>
          <w:sz w:val="24"/>
          <w:szCs w:val="24"/>
        </w:rPr>
      </w:pPr>
      <w:r w:rsidRPr="00F05653">
        <w:rPr>
          <w:rFonts w:asciiTheme="majorBidi" w:eastAsia="Calibri" w:hAnsiTheme="majorBidi" w:cstheme="majorBidi"/>
          <w:sz w:val="24"/>
          <w:szCs w:val="24"/>
        </w:rPr>
        <w:t>Determining and regulating the legal relationships between people and the earth, water, and airspace.</w:t>
      </w:r>
    </w:p>
    <w:p w14:paraId="3BB9251B" w14:textId="77777777" w:rsidR="00F05653" w:rsidRPr="00F05653" w:rsidRDefault="00F05653" w:rsidP="00F05653">
      <w:pPr>
        <w:numPr>
          <w:ilvl w:val="0"/>
          <w:numId w:val="51"/>
        </w:numPr>
        <w:spacing w:after="160" w:line="276" w:lineRule="auto"/>
        <w:jc w:val="both"/>
        <w:rPr>
          <w:rFonts w:asciiTheme="majorBidi" w:eastAsia="Calibri" w:hAnsiTheme="majorBidi" w:cstheme="majorBidi"/>
          <w:sz w:val="24"/>
          <w:szCs w:val="24"/>
        </w:rPr>
      </w:pPr>
      <w:r w:rsidRPr="00F05653">
        <w:rPr>
          <w:rFonts w:asciiTheme="majorBidi" w:eastAsia="Calibri" w:hAnsiTheme="majorBidi" w:cstheme="majorBidi"/>
          <w:sz w:val="24"/>
          <w:szCs w:val="24"/>
        </w:rPr>
        <w:t>Determining and regulating the legal relationships between people and legal actions concerning the earth, water, and airspace.</w:t>
      </w:r>
    </w:p>
    <w:p w14:paraId="48D160B0"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In Article 2, paragraph 3 of Law No. 5 of 1960 on Agrarian Affairs, it is stated that the authority derived from the State’s Right to Control, as outlined in paragraph 2, is used to achieve the greatest prosperity of the people. This encompasses aspects of nationalism, welfare, and independence in the context of an independent, sovereign, just, and prosperous rule of law in Indonesia.</w:t>
      </w:r>
    </w:p>
    <w:p w14:paraId="23771EA6"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The management of oil and gas (</w:t>
      </w:r>
      <w:proofErr w:type="spellStart"/>
      <w:r w:rsidRPr="00F05653">
        <w:rPr>
          <w:rFonts w:asciiTheme="majorBidi" w:eastAsia="Calibri" w:hAnsiTheme="majorBidi" w:cstheme="majorBidi"/>
          <w:sz w:val="24"/>
          <w:szCs w:val="24"/>
        </w:rPr>
        <w:t>migas</w:t>
      </w:r>
      <w:proofErr w:type="spellEnd"/>
      <w:r w:rsidRPr="00F05653">
        <w:rPr>
          <w:rFonts w:asciiTheme="majorBidi" w:eastAsia="Calibri" w:hAnsiTheme="majorBidi" w:cstheme="majorBidi"/>
          <w:sz w:val="24"/>
          <w:szCs w:val="24"/>
        </w:rPr>
        <w:t xml:space="preserve">) in Indonesia plays a very important role in supporting national development. As one of the main sources of foreign exchange, the oil and gas sector significantly contributes to state revenue. Revenue from this sector is not only used to finance various development programs but also serves to improve infrastructure and public services, which in turn contributes to the welfare of society. Furthermore, oil and gas also play </w:t>
      </w:r>
      <w:r w:rsidRPr="00F05653">
        <w:rPr>
          <w:rFonts w:asciiTheme="majorBidi" w:eastAsia="Calibri" w:hAnsiTheme="majorBidi" w:cstheme="majorBidi"/>
          <w:sz w:val="24"/>
          <w:szCs w:val="24"/>
        </w:rPr>
        <w:lastRenderedPageBreak/>
        <w:t>a role as suppliers of domestic energy needs, which is a crucial factor in maintaining national economic stability. The impact of the oil and gas sector is widespread, making it one of the main pillars of the Indonesian economy. With abundant oil and gas reserves, Indonesia has the potential to strengthen its position in the global market. However, challenges in oil and gas management still exist, such as global price fluctuations, demands for sustainability, and the need to comply with increasingly stringent environmental regulations. Therefore, effective and efficient management is vital to ensure that the potential of oil and gas can be optimally utilized for the prosperity of the people.</w:t>
      </w:r>
    </w:p>
    <w:p w14:paraId="2BDF908F"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In this regard, the principles of natural resource management are also a major concern. Article 33, paragraph (3) of the 1945 Constitution of the Republic of Indonesia affirms that the earth, water, and natural resources contained therein are controlled by the state and must be used to the fullest for the welfare of the people. This reflects the government's commitment to managing natural resources fairly and sustainably. In other words, oil and gas management must reflect the interests of the wider community and not just benefit a select few. This includes efforts to ensure that the results from the oil and gas sector can be enjoyed by all segments of society, especially those most in need. The Constitutional Court, in Decision No. 3/PUU-VIII/2010, dated June 16, 2011, considered that the phrase "used for the greatest prosperity of the people" serves as the benchmark for the state in determining actions regarding the management, regulation, or administration of the earth, water, and natural resources contained therein.</w:t>
      </w:r>
    </w:p>
    <w:p w14:paraId="3AB99804"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Business entities or permanent establishments engaged in oil and gas activities have a responsibility to develop the environment and the surrounding community. Regarding the rights of indigenous peoples, it has already been stipulated that oil and gas business activities cannot be conducted on land that belongs to indigenous communities. This demonstrates the importance of respecting local community rights in every project undertaken by companies. As a modern state, Indonesia is grounded in the principles of democracy and law, as stated in the 1945 Constitution. The primary goal of this system is to establish welfare for the people. In the development of national law, there are two main pillars that must be considered. First, the ideal foundation, which is the fundamental norm of national and state life, based on the values of Pancasila. Pancasila as the state ideology provides guidance in formulating laws that align with the character and necessities of Indonesian society.</w:t>
      </w:r>
    </w:p>
    <w:p w14:paraId="7D0991AA"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Second, the operational foundation encompasses several important aspects in the implementation of the law. First, the law must be just and capable of empowering society. Second, the law must reinforce the existing democratic system. Additionally, the law must protect human rights, maintain the integrity of the Unitary State of the Republic of Indonesia (NKRI), and reflect the spirit of unity in diversity, which respects the cultural and ethnic diversity in Indonesia. Lastly, the law must function to protect the nation and the homeland of Indonesia. By integrating these two foundations, Indonesia can create a legal system that is not only effective but also just, inclusive, and sustainable.</w:t>
      </w:r>
    </w:p>
    <w:p w14:paraId="73261A25"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Business Entities or Permanent Establishments are responsible for ensuring occupational safety and health, as well as environmental management. They are required to comply with all relevant laws and regulations when carrying out oil and gas business activities. This responsibility includes not only the implementation of operational activities but also a serious attention to the environmental impacts that may arise. In terms of environmental management, </w:t>
      </w:r>
      <w:r w:rsidRPr="00F05653">
        <w:rPr>
          <w:rFonts w:asciiTheme="majorBidi" w:eastAsia="Calibri" w:hAnsiTheme="majorBidi" w:cstheme="majorBidi"/>
          <w:sz w:val="24"/>
          <w:szCs w:val="24"/>
        </w:rPr>
        <w:lastRenderedPageBreak/>
        <w:t>Business Entities or Permanent Establishments are obliged to prevent and mitigate pollution, as well as restore any potential damage to the environment. This includes obligations that must be fulfilled after mining operations are completed. Consequently, companies should have a clear plan to address the environmental impacts resulting from their activities, both during and after the exploration and exploitation processes.</w:t>
      </w:r>
    </w:p>
    <w:p w14:paraId="17C5F328"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Government Regulation No. 35 of 2004 regarding Upstream Oil and Gas Business Activities stipulates that contractors are required to allocate special funds for post-operation activities. This obligation applies from the early stages of exploration and is implemented through the work plan and budget that have been established. The allocation of these funds must be agreed upon by the contractor and the Implementing Agency and serves as a special reserve for post-operation activities in the relevant working area. The procedures for utilizing these special reserve funds are regulated in the Cooperation Contract.</w:t>
      </w:r>
    </w:p>
    <w:p w14:paraId="200E06CC"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The obligations for business entities and Permanent Establishments engaged in upstream activities based on the Production Sharing Contract (PSC) are outlined in Article 31 of Law No. 22 of 2001 regarding Oil and Gas. These obligations encompass several important aspects that support state revenue. Business entities are required to pay state revenues in the form of taxes. This includes various types of taxes such as income tax, import duties, and other levies related to imports, as well as excise taxes. Additionally, local taxes and regional levies are also part of the obligations that business entities must fulfill. This tax payment is crucial to ensure that the state receives a fair share of the profits generated from the natural resources managed by these entities.</w:t>
      </w:r>
    </w:p>
    <w:p w14:paraId="55277B9A"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Business entities are also obliged to pay non-tax state revenue. This includes the state’s share of exploitation results, as well as state levies in the form of fixed contributions and exploration and exploitation fees. Additionally, there are bonuses that must be paid in accordance with applicable regulations. These obligations reflect the commitment of business entities to contribute fairly to the national economy and ensure that the benefits from oil and gas resources can be felt by all of society. The rights of business entities or Permanent Establishments engaged in business activities include the right to receive a share of the profits generated from production, after deducting the state’s share. However, Law No. 22 of 2001 does not specifically regulate the composition of profit sharing between the Implementing Agency and these business entities. Referring to Article 66, paragraph 2 of Law No. 22 of 2001, it is stated that all implementing regulations originating from Law No. 44 </w:t>
      </w:r>
      <w:proofErr w:type="spellStart"/>
      <w:r w:rsidRPr="00F05653">
        <w:rPr>
          <w:rFonts w:asciiTheme="majorBidi" w:eastAsia="Calibri" w:hAnsiTheme="majorBidi" w:cstheme="majorBidi"/>
          <w:sz w:val="24"/>
          <w:szCs w:val="24"/>
        </w:rPr>
        <w:t>Prp</w:t>
      </w:r>
      <w:proofErr w:type="spellEnd"/>
      <w:r w:rsidRPr="00F05653">
        <w:rPr>
          <w:rFonts w:asciiTheme="majorBidi" w:eastAsia="Calibri" w:hAnsiTheme="majorBidi" w:cstheme="majorBidi"/>
          <w:sz w:val="24"/>
          <w:szCs w:val="24"/>
        </w:rPr>
        <w:t xml:space="preserve"> of 1960 and Law No. 8 of 1971 regarding Pertamina remain in effect. This indicates that even with changes in regulations, previous provisions are still recognized and can be referenced in carrying out activities in the oil and gas sector.</w:t>
      </w:r>
    </w:p>
    <w:p w14:paraId="66BDA553"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The enactment of Law No. 25 of 1999 and Law No. 32 of 2004 marked an important moment for regions to receive a portion of state revenue derived from oil and gas. The provisions regarding the allocation of natural resources for regions are specifically regulated in Law No. 33 of 2004 concerning Financial Balancing between the Central Government and Regional Governments. One form of balancing fund that is the right of the region is the Revenue Sharing Fund, sourced from oil and gas mining activities, as regulated in Article 11, paragraph 3 of Law No. 33 of 2004.</w:t>
      </w:r>
    </w:p>
    <w:p w14:paraId="147C4DF4" w14:textId="77777777"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According to Article 19 of Law No. 33 of 2004, revenue from oil and gas mining allocated to regions is part of state revenue derived from mining natural resources in the relevant region, </w:t>
      </w:r>
      <w:r w:rsidRPr="00F05653">
        <w:rPr>
          <w:rFonts w:asciiTheme="majorBidi" w:eastAsia="Calibri" w:hAnsiTheme="majorBidi" w:cstheme="majorBidi"/>
          <w:sz w:val="24"/>
          <w:szCs w:val="24"/>
        </w:rPr>
        <w:lastRenderedPageBreak/>
        <w:t>after deducting tax components and other levies. The provisions regarding revenue sharing are explained in Articles 14 (e and f) and Article 19 (2, 3, and 4), which regulate the division of results from oil and gas mining. For revenue sharing from oil mining, 84.5% of total revenue will be handed over to the central government, while 15.5% will be allocated to the regions. From this 15.5% share, the allocation for the respective provincial government is 3%, while producing districts/cities will receive 6%. The remaining 6% will be given to other districts/cities in the same province. This distribution reflects efforts to ensure that producing regions can benefit from the natural resources available in their areas.</w:t>
      </w:r>
    </w:p>
    <w:p w14:paraId="7FC73339" w14:textId="56C590AF" w:rsidR="00F05653" w:rsidRPr="00F05653" w:rsidRDefault="00F05653" w:rsidP="00F05653">
      <w:pPr>
        <w:spacing w:line="276" w:lineRule="auto"/>
        <w:ind w:firstLine="540"/>
        <w:jc w:val="both"/>
        <w:rPr>
          <w:rFonts w:asciiTheme="majorBidi" w:eastAsia="Calibri" w:hAnsiTheme="majorBidi" w:cstheme="majorBidi"/>
          <w:sz w:val="24"/>
          <w:szCs w:val="24"/>
        </w:rPr>
      </w:pPr>
      <w:r w:rsidRPr="00F05653">
        <w:rPr>
          <w:rFonts w:asciiTheme="majorBidi" w:eastAsia="Calibri" w:hAnsiTheme="majorBidi" w:cstheme="majorBidi"/>
          <w:sz w:val="24"/>
          <w:szCs w:val="24"/>
        </w:rPr>
        <w:t xml:space="preserve">Meanwhile, for the distribution of revenue from natural gas mining, the central government will receive 69.5% of total revenue, while the regions will obtain 30.5%. From the allocated 30.5%, the respective provincial government receives 6%, producing districts/cities receive 12%, and other districts/cities in the same province also receive 12%. This provision indicates the importance of financial balance between the central and regional governments and provides incentives for producing regions to contribute to the management of natural resources. The sharing of proceeds from oil and gas exploration and exploitation activities for producing regions is often considered too small, </w:t>
      </w:r>
      <w:r w:rsidR="00EC056C" w:rsidRPr="00F05653">
        <w:rPr>
          <w:rFonts w:asciiTheme="majorBidi" w:eastAsia="Calibri" w:hAnsiTheme="majorBidi" w:cstheme="majorBidi"/>
          <w:sz w:val="24"/>
          <w:szCs w:val="24"/>
        </w:rPr>
        <w:t>even though</w:t>
      </w:r>
      <w:r w:rsidRPr="00F05653">
        <w:rPr>
          <w:rFonts w:asciiTheme="majorBidi" w:eastAsia="Calibri" w:hAnsiTheme="majorBidi" w:cstheme="majorBidi"/>
          <w:sz w:val="24"/>
          <w:szCs w:val="24"/>
        </w:rPr>
        <w:t xml:space="preserve"> these regions must bear the social costs and impacts of such activities. Many people in producing regions still live in poverty, even though they supply significant natural resources. When production ceases, mine closure activities, or Abandonment and Site Restoration (ASR), become crucial. This process involves the responsibilities of both the contractor and the government to manage and restore areas that have been utilized, given that the regulations in Indonesia regarding decommissioning are still relatively new and do not explicitly include that term</w:t>
      </w:r>
      <w:r w:rsidR="00EC056C">
        <w:rPr>
          <w:rFonts w:asciiTheme="majorBidi" w:eastAsia="Calibri" w:hAnsiTheme="majorBidi" w:cstheme="majorBidi"/>
          <w:sz w:val="24"/>
          <w:szCs w:val="24"/>
        </w:rPr>
        <w:t>.</w:t>
      </w:r>
    </w:p>
    <w:p w14:paraId="18050AA5"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Article 3 of Law No. 22 of 2001 emphasizes the importance of maintaining environmental sustainability in upstream oil and gas business activities. The contractor's refusal to pay for ASR funds contradicts this law and may lead to future issues, such as environmental damage after the company leaves the area. ASR activities include the restoration of environmental functions and the recovery of facilities that have been used. Abandonment is defined as the removal or dismantling of production installations carried out in four stages. First, the contractor plans and assesses the safe technical process after ceasing operations. Next, they disconnect and secure existing installations and manage the disposal or recycling of those installations. This activity is essential to prevent negative impacts in the future and ensure environmental responsibility.</w:t>
      </w:r>
    </w:p>
    <w:p w14:paraId="14761604"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Restoration or recovery of the exploited site is an important process aimed at returning various facilities such as camps, wells, pipelines, terminals, and offices to their original condition. This process not only aims to improve the physical state but also to ensure that the area can be utilized again in the future. In this context, a deeper understanding of Abandonment and Site Restoration (ASR) is regulated in the Work Guidelines for Abandonment and Site Restoration No. 040/PTK/XI/2010 (PTK ASR). These guidelines provide guidance on how to plan, reserve funds, implement activities, and report the results of ASR implementation.</w:t>
      </w:r>
    </w:p>
    <w:p w14:paraId="1137422A"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 xml:space="preserve">According to Article 1.2, point 1 of PTK ASR, ASR encompasses activities aimed at permanently halting the operation of production facilities and other supporting means. Additionally, ASR includes environmental recovery in the areas of upstream oil and gas activities. In other words, the primary objective of ASR is to restore the environmental conditions and infrastructure to a better state after operational activities conclude. The </w:t>
      </w:r>
      <w:r w:rsidRPr="00F05653">
        <w:rPr>
          <w:rFonts w:asciiTheme="majorBidi" w:eastAsia="Calibri" w:hAnsiTheme="majorBidi" w:cstheme="majorBidi"/>
          <w:sz w:val="24"/>
          <w:szCs w:val="24"/>
          <w:lang w:val="en-ID"/>
        </w:rPr>
        <w:lastRenderedPageBreak/>
        <w:t>obligation to abandon production facilities and restore areas of upstream oil and gas activities is not new. It has been regulated in various international provisions and national legislation. This obligation reflects the importance of corporate responsibility in protecting the environment and ensuring that areas that have been exploited do not leave lasting negative impacts.</w:t>
      </w:r>
    </w:p>
    <w:p w14:paraId="0FF20D44" w14:textId="31C268DA"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 xml:space="preserve">The abandonment of unused production facilities is governed by Decision Letter No. KEP-0139/BP00000/2010/SO, which refers to the Work Guidelines for Abandonment and Site Restoration No. 040/PTK/XI/2010 (PTK ASR). In Article 1.1 of PTK ASR, it is stated that Cooperation Contract Contractors (KKS) are required to abandon production facilities and other supporting means that have been utilized in upstream oil and gas activities when production ceases. The </w:t>
      </w:r>
      <w:r w:rsidR="00EC056C" w:rsidRPr="00F05653">
        <w:rPr>
          <w:rFonts w:asciiTheme="majorBidi" w:eastAsia="Calibri" w:hAnsiTheme="majorBidi" w:cstheme="majorBidi"/>
          <w:sz w:val="24"/>
          <w:szCs w:val="24"/>
          <w:lang w:val="en-ID"/>
        </w:rPr>
        <w:t>Profit-Sharing</w:t>
      </w:r>
      <w:r w:rsidRPr="00F05653">
        <w:rPr>
          <w:rFonts w:asciiTheme="majorBidi" w:eastAsia="Calibri" w:hAnsiTheme="majorBidi" w:cstheme="majorBidi"/>
          <w:sz w:val="24"/>
          <w:szCs w:val="24"/>
          <w:lang w:val="en-ID"/>
        </w:rPr>
        <w:t xml:space="preserve"> Contract (2008 model) also includes obligations for contractors to rehabilitate the environment and dismantle all installations and equipment before leaving the site. This obligation applies when the contract ends, is terminated, or when a portion of the working area is returned, including closed and abandoned fields.</w:t>
      </w:r>
    </w:p>
    <w:p w14:paraId="53F3B288"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After 2008, regulations concerning the obligation to implement Abandonment and Site Restoration (ASR) and to reserve funds for post-operation restoration began to be strengthened through Government Regulation No. 35 of 2004. In this regulation, contractors are required to allocate funds for post-operation activities from the early stages of exploration. Additionally, Government Regulation No. 79 of 2010 also stipulates that operational costs include costs for post-operation activities. The allocation of ASR funds is detailed in cooperation contracts, which require contractors to estimate an annual budget for environmental rehabilitation and the closure of unproductive wells. The accumulated funds will be used to clean and restore the environment, and if the contract ends, those funds will be transferred to SKK MIGAS for rehabilitation responsibilities. However, obstacles to implementing ASR persist, particularly resistance from nine contractors who signed contracts before 1994, which did not include ASR obligations. In the international context, several conventions, such as the Geneva Convention and the London Dumping Convention, require coastal states to dismantle unused offshore installations to prevent environmental problems that may arise from abandoned facilities.</w:t>
      </w:r>
    </w:p>
    <w:p w14:paraId="4714FA86"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Indonesia has ratified two international conventions governing the dismantling of offshore installations, namely the Geneva Convention through Law No. 19 of 1961 and UNCLOS through Law No. 17 of 1985. However, regulations regarding Abandonment and Site Restoration (ASR) in Indonesia are still not definitive. Initially, the obligation to dismantle unused facilities was governed by the Mining Safety Regulation State Gazette No. 341 of 1930, which was reinforced by Government Regulation No. 17 of 1974. Although there are no specific clauses regarding ASR obligations in the Cooperation Contracts (KKS), KKS contractors are still required to carry out ASR activities after production ends. This refers to Article 1338 of the Civil Code, which states that a valid agreement serves as law for the parties who make it. Furthermore, by ratifying international conventions, Indonesia also affirms its obligation to implement ASR provisions in oil and gas operations, especially in offshore areas, to ensure compliance with international law.</w:t>
      </w:r>
    </w:p>
    <w:p w14:paraId="0ADBCED5"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 xml:space="preserve">Regulations regarding Abandonment and Site Restoration (ASR) have become part of the legal system in Indonesia, and KKS contractors are obliged to comply with these provisions. However, one of the hurdles in implementing ASR is the lack of regulations that clearly govern these activities. Currently, there is no specific law or government regulation that details the </w:t>
      </w:r>
      <w:r w:rsidRPr="00F05653">
        <w:rPr>
          <w:rFonts w:asciiTheme="majorBidi" w:eastAsia="Calibri" w:hAnsiTheme="majorBidi" w:cstheme="majorBidi"/>
          <w:sz w:val="24"/>
          <w:szCs w:val="24"/>
          <w:lang w:val="en-ID"/>
        </w:rPr>
        <w:lastRenderedPageBreak/>
        <w:t>implementation of ASR in depth. Regulations regarding ASR in Indonesian legislation are often only briefly mentioned. For example, in the Mining Safety Regulation State Gazette No. 341 of 1930, there is Article 18 that mentions the obligation to dismantle unused facilities. Additionally, Government Regulation No. 17 of 1974 includes several provisions in Article 21 and Article 41 regulating the dismantling of mining installations no longer in use. Similarly, Government Regulation No. 35 of 2004 and Government Regulation No. 79 of 2010, which, while regulating matters related to upstream oil and gas activities, still do not provide detailed explanations regarding the implementation of ASR activities. This situation leads to uncertainty and challenges in fulfilling ASR obligations for contractors, as they lack clear and detailed guidelines to follow.</w:t>
      </w:r>
    </w:p>
    <w:p w14:paraId="2D9A874A"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The regulations for implementing Abandonment and Site Restoration (ASR) began to be clarified with the issuance of Decision Letter No. KEP-0139/BP00000/2010/SO, which contains the Work Guidelines for ASR (No. 040/PTK/XI/2010) in 2010. Previously, clauses regarding the obligation for environmental rehabilitation and the dismantling of installations in Cooperation Contracts, including Profit Sharing Contracts and Production Sharing Contracts, have existed since 2008. These clauses emphasize that contractors must rehabilitate and dismantle all equipment in accordance with applicable laws, especially when contracts end, are terminated, or portions of the working area are returned. However, the ambiguity in ASR regulations still leads some KKS contractors to evade the obligation to pay for the ASR fund reserves. This indicates that even though guidelines exist, the lack of clear and definitive provisions regarding ASR implementation remains a barrier. In this context, the author argues that clearer regulations are needed to govern the obligations of contractors to carry out ASR activities, including the reservation of funds for areas that have completed exploration or post-operation.</w:t>
      </w:r>
    </w:p>
    <w:p w14:paraId="1C44E76B" w14:textId="77777777" w:rsidR="00F05653" w:rsidRPr="00F05653" w:rsidRDefault="00F05653" w:rsidP="00F05653">
      <w:pPr>
        <w:spacing w:line="276" w:lineRule="auto"/>
        <w:ind w:firstLine="540"/>
        <w:jc w:val="both"/>
        <w:rPr>
          <w:rFonts w:asciiTheme="majorBidi" w:eastAsia="Calibri" w:hAnsiTheme="majorBidi" w:cstheme="majorBidi"/>
          <w:sz w:val="24"/>
          <w:szCs w:val="24"/>
          <w:lang w:val="en-ID"/>
        </w:rPr>
      </w:pPr>
      <w:r w:rsidRPr="00F05653">
        <w:rPr>
          <w:rFonts w:asciiTheme="majorBidi" w:eastAsia="Calibri" w:hAnsiTheme="majorBidi" w:cstheme="majorBidi"/>
          <w:sz w:val="24"/>
          <w:szCs w:val="24"/>
          <w:lang w:val="en-ID"/>
        </w:rPr>
        <w:t>Regulatory legislation in Indonesia remains unclear and ambiguous regarding the implementation of Abandonment and Site Restoration (ASR) activities compared to the system in the UK. In the UK, there are detailed technical requirements to ensure that ASR activities are conducted safely and do not pose risks to the surrounding environment. The ambiguity in these regulations in Indonesia results in some KKS contractors avoiding the obligation to pay for ASR fund reserves. If the regulations regarding the implementation of ASR in Indonesia could be made more detailed and explicit, for example, through comprehensive legislation or by reiterating these obligations in cooperation contracts between the government and contractors, it could provide clarity for all parties. The government would find it easier to regulate and implement ASR activities, both technically and in terms of funding. With clearer regulations, contractors could no longer refuse to carry out ASR activities as obligations that must be fulfilled after their contracts end. Clarity in these regulations would help ensure that environmental recovery actions are taken seriously, preserving ecosystems and fulfilling corporate social responsibility.</w:t>
      </w:r>
    </w:p>
    <w:p w14:paraId="431DFEB6" w14:textId="77777777" w:rsidR="003214E8" w:rsidRDefault="003214E8" w:rsidP="00E56BE0">
      <w:pPr>
        <w:pStyle w:val="BodyText"/>
        <w:tabs>
          <w:tab w:val="left" w:pos="5250"/>
        </w:tabs>
        <w:spacing w:line="276" w:lineRule="auto"/>
        <w:ind w:right="98" w:firstLine="0"/>
        <w:rPr>
          <w:b/>
          <w:bCs/>
          <w:sz w:val="24"/>
          <w:szCs w:val="24"/>
          <w:lang w:val="en-ID"/>
        </w:rPr>
      </w:pPr>
    </w:p>
    <w:p w14:paraId="34821DBB" w14:textId="4103A000" w:rsidR="007C2974" w:rsidRPr="007C2974" w:rsidRDefault="007C2974" w:rsidP="00E56BE0">
      <w:pPr>
        <w:pStyle w:val="BodyText"/>
        <w:tabs>
          <w:tab w:val="left" w:pos="5250"/>
        </w:tabs>
        <w:spacing w:line="276" w:lineRule="auto"/>
        <w:ind w:right="98" w:firstLine="0"/>
        <w:rPr>
          <w:b/>
          <w:bCs/>
          <w:sz w:val="24"/>
          <w:szCs w:val="24"/>
        </w:rPr>
      </w:pPr>
      <w:r w:rsidRPr="007C2974">
        <w:rPr>
          <w:b/>
          <w:bCs/>
          <w:sz w:val="24"/>
          <w:szCs w:val="24"/>
        </w:rPr>
        <w:t>CONCLUSION</w:t>
      </w:r>
      <w:r w:rsidR="00F54D77">
        <w:rPr>
          <w:b/>
          <w:bCs/>
          <w:sz w:val="24"/>
          <w:szCs w:val="24"/>
        </w:rPr>
        <w:tab/>
      </w:r>
    </w:p>
    <w:p w14:paraId="29AD913E" w14:textId="77777777" w:rsidR="00F05653" w:rsidRPr="00F05653" w:rsidRDefault="00F05653" w:rsidP="00F05653">
      <w:pPr>
        <w:spacing w:line="276" w:lineRule="auto"/>
        <w:ind w:right="98" w:firstLine="567"/>
        <w:jc w:val="both"/>
        <w:rPr>
          <w:spacing w:val="-1"/>
          <w:sz w:val="24"/>
          <w:szCs w:val="24"/>
          <w:lang w:val="en-GB"/>
        </w:rPr>
      </w:pPr>
      <w:r w:rsidRPr="00F05653">
        <w:rPr>
          <w:spacing w:val="-1"/>
          <w:sz w:val="24"/>
          <w:szCs w:val="24"/>
          <w:lang w:val="en-GB"/>
        </w:rPr>
        <w:t xml:space="preserve">The regulation of exploration and production activities in Indonesia's oil and gas sector, governed by Law No. 22 of 2001 and related regulations, establishes that the government holds primary responsibility for managing these resources, retaining all rights to them. While contractors implement activities, the transition to SKK </w:t>
      </w:r>
      <w:proofErr w:type="spellStart"/>
      <w:r w:rsidRPr="00F05653">
        <w:rPr>
          <w:spacing w:val="-1"/>
          <w:sz w:val="24"/>
          <w:szCs w:val="24"/>
          <w:lang w:val="en-GB"/>
        </w:rPr>
        <w:t>Migas</w:t>
      </w:r>
      <w:proofErr w:type="spellEnd"/>
      <w:r w:rsidRPr="00F05653">
        <w:rPr>
          <w:spacing w:val="-1"/>
          <w:sz w:val="24"/>
          <w:szCs w:val="24"/>
          <w:lang w:val="en-GB"/>
        </w:rPr>
        <w:t xml:space="preserve"> as the overseeing body </w:t>
      </w:r>
      <w:r w:rsidRPr="00F05653">
        <w:rPr>
          <w:spacing w:val="-1"/>
          <w:sz w:val="24"/>
          <w:szCs w:val="24"/>
          <w:lang w:val="en-GB"/>
        </w:rPr>
        <w:lastRenderedPageBreak/>
        <w:t>underscores the government's commitment to effective control. The law and PP 35/2004 stipulate that asset used in upstream activities, though invested by contractors, remain state property, emphasizing the government's role in safeguarding national interests. Cooperation contracts like Production Sharing Contracts (PSC) aim for equitable revenue distribution, but challenges arise with the Gross Split PSC due to comprehension and implementation issues. The success of oil and gas management hinges on regulatory clarity and collaborative efforts between the government and contractors to optimize the use of these strategic resources for public welfare. Despite the sector's potential for national development, issues in regulation and environmental management persist, highlighting the need for clearer enforcement of obligations such as Abandonment and Site Restoration (ASR). Strengthening regulations regarding contractors' responsibilities in ASR is crucial for environmental preservation and ensuring that the benefits of resource exploitation are recognized by society, particularly in producing regions. Ultimately, these measures aim for sustainable and equitable management of oil and gas in alignment with Indonesia's democratic and legal principles.</w:t>
      </w:r>
    </w:p>
    <w:p w14:paraId="05B4BC45" w14:textId="77777777" w:rsidR="0013321E" w:rsidRPr="00E56BE0" w:rsidRDefault="0013321E" w:rsidP="0013321E">
      <w:pPr>
        <w:spacing w:line="276" w:lineRule="auto"/>
        <w:ind w:right="98"/>
        <w:jc w:val="both"/>
        <w:rPr>
          <w:sz w:val="24"/>
          <w:szCs w:val="24"/>
          <w:lang w:val="en-GB"/>
        </w:rPr>
      </w:pPr>
    </w:p>
    <w:p w14:paraId="31B39082" w14:textId="50BBA990" w:rsidR="00136E00" w:rsidRPr="00136E00" w:rsidRDefault="00D60B6C" w:rsidP="00471F60">
      <w:pPr>
        <w:pStyle w:val="BodyText"/>
        <w:spacing w:line="276" w:lineRule="auto"/>
        <w:ind w:right="98" w:firstLine="0"/>
        <w:rPr>
          <w:b/>
          <w:sz w:val="24"/>
          <w:szCs w:val="24"/>
        </w:rPr>
      </w:pPr>
      <w:r w:rsidRPr="00136E00">
        <w:rPr>
          <w:b/>
          <w:sz w:val="24"/>
          <w:szCs w:val="24"/>
        </w:rPr>
        <w:t>REFERENCES</w:t>
      </w:r>
    </w:p>
    <w:p w14:paraId="10751E13" w14:textId="3E86A5A5" w:rsidR="00EC056C" w:rsidRPr="00EC056C" w:rsidRDefault="00EC056C" w:rsidP="00EC056C">
      <w:pPr>
        <w:widowControl w:val="0"/>
        <w:autoSpaceDE w:val="0"/>
        <w:autoSpaceDN w:val="0"/>
        <w:adjustRightInd w:val="0"/>
        <w:spacing w:line="276" w:lineRule="auto"/>
        <w:ind w:left="480" w:hanging="480"/>
        <w:jc w:val="both"/>
        <w:rPr>
          <w:noProof/>
          <w:sz w:val="24"/>
        </w:rPr>
      </w:pPr>
      <w:r>
        <w:rPr>
          <w:bCs/>
          <w:sz w:val="24"/>
          <w:szCs w:val="24"/>
          <w:lang w:val="en-GB"/>
        </w:rPr>
        <w:fldChar w:fldCharType="begin" w:fldLock="1"/>
      </w:r>
      <w:r>
        <w:rPr>
          <w:bCs/>
          <w:sz w:val="24"/>
          <w:szCs w:val="24"/>
          <w:lang w:val="en-GB"/>
        </w:rPr>
        <w:instrText xml:space="preserve">ADDIN Mendeley Bibliography CSL_BIBLIOGRAPHY </w:instrText>
      </w:r>
      <w:r>
        <w:rPr>
          <w:bCs/>
          <w:sz w:val="24"/>
          <w:szCs w:val="24"/>
          <w:lang w:val="en-GB"/>
        </w:rPr>
        <w:fldChar w:fldCharType="separate"/>
      </w:r>
      <w:r w:rsidRPr="00EC056C">
        <w:rPr>
          <w:noProof/>
          <w:sz w:val="24"/>
        </w:rPr>
        <w:t xml:space="preserve">Kurniawan, F. (2013). Bentuk Perlindungan Hukum Terhadap Kekayaan Minyak Dan Gas Bumi Sebagai Aset Negara Melalui Instrumen Kontrak. </w:t>
      </w:r>
      <w:r w:rsidRPr="00EC056C">
        <w:rPr>
          <w:i/>
          <w:iCs/>
          <w:noProof/>
          <w:sz w:val="24"/>
        </w:rPr>
        <w:t>Perspektif</w:t>
      </w:r>
      <w:r w:rsidRPr="00EC056C">
        <w:rPr>
          <w:noProof/>
          <w:sz w:val="24"/>
        </w:rPr>
        <w:t xml:space="preserve">, </w:t>
      </w:r>
      <w:r w:rsidRPr="00EC056C">
        <w:rPr>
          <w:i/>
          <w:iCs/>
          <w:noProof/>
          <w:sz w:val="24"/>
        </w:rPr>
        <w:t>18</w:t>
      </w:r>
      <w:r w:rsidRPr="00EC056C">
        <w:rPr>
          <w:noProof/>
          <w:sz w:val="24"/>
        </w:rPr>
        <w:t>(2), 74–85.</w:t>
      </w:r>
    </w:p>
    <w:p w14:paraId="780F663D" w14:textId="77777777" w:rsidR="00EC056C" w:rsidRPr="00EC056C" w:rsidRDefault="00EC056C" w:rsidP="00EC056C">
      <w:pPr>
        <w:widowControl w:val="0"/>
        <w:autoSpaceDE w:val="0"/>
        <w:autoSpaceDN w:val="0"/>
        <w:adjustRightInd w:val="0"/>
        <w:spacing w:line="276" w:lineRule="auto"/>
        <w:ind w:left="480" w:hanging="480"/>
        <w:jc w:val="both"/>
        <w:rPr>
          <w:noProof/>
          <w:sz w:val="24"/>
        </w:rPr>
      </w:pPr>
      <w:r w:rsidRPr="00EC056C">
        <w:rPr>
          <w:noProof/>
          <w:sz w:val="24"/>
        </w:rPr>
        <w:t xml:space="preserve">Mandle, J. (2009). </w:t>
      </w:r>
      <w:r w:rsidRPr="00EC056C">
        <w:rPr>
          <w:i/>
          <w:iCs/>
          <w:noProof/>
          <w:sz w:val="24"/>
        </w:rPr>
        <w:t>Rawls’s’ A theory of justice’: An introduction</w:t>
      </w:r>
      <w:r w:rsidRPr="00EC056C">
        <w:rPr>
          <w:noProof/>
          <w:sz w:val="24"/>
        </w:rPr>
        <w:t>. Cambridge University Press.</w:t>
      </w:r>
    </w:p>
    <w:p w14:paraId="01D219DD" w14:textId="77777777" w:rsidR="00EC056C" w:rsidRPr="00EC056C" w:rsidRDefault="00EC056C" w:rsidP="00EC056C">
      <w:pPr>
        <w:widowControl w:val="0"/>
        <w:autoSpaceDE w:val="0"/>
        <w:autoSpaceDN w:val="0"/>
        <w:adjustRightInd w:val="0"/>
        <w:spacing w:line="276" w:lineRule="auto"/>
        <w:ind w:left="480" w:hanging="480"/>
        <w:jc w:val="both"/>
        <w:rPr>
          <w:noProof/>
          <w:sz w:val="24"/>
        </w:rPr>
      </w:pPr>
      <w:r w:rsidRPr="00EC056C">
        <w:rPr>
          <w:noProof/>
          <w:sz w:val="24"/>
        </w:rPr>
        <w:t xml:space="preserve">Rahardjo, S. (2009). </w:t>
      </w:r>
      <w:r w:rsidRPr="00EC056C">
        <w:rPr>
          <w:i/>
          <w:iCs/>
          <w:noProof/>
          <w:sz w:val="24"/>
        </w:rPr>
        <w:t>Penegakan hukum: suatu tinjauan sosiologis</w:t>
      </w:r>
      <w:r w:rsidRPr="00EC056C">
        <w:rPr>
          <w:noProof/>
          <w:sz w:val="24"/>
        </w:rPr>
        <w:t>.</w:t>
      </w:r>
    </w:p>
    <w:p w14:paraId="7436F5BE" w14:textId="77777777" w:rsidR="00EC056C" w:rsidRPr="00EC056C" w:rsidRDefault="00EC056C" w:rsidP="00EC056C">
      <w:pPr>
        <w:widowControl w:val="0"/>
        <w:autoSpaceDE w:val="0"/>
        <w:autoSpaceDN w:val="0"/>
        <w:adjustRightInd w:val="0"/>
        <w:spacing w:line="276" w:lineRule="auto"/>
        <w:ind w:left="480" w:hanging="480"/>
        <w:jc w:val="both"/>
        <w:rPr>
          <w:noProof/>
          <w:sz w:val="24"/>
        </w:rPr>
      </w:pPr>
      <w:r w:rsidRPr="00EC056C">
        <w:rPr>
          <w:noProof/>
          <w:sz w:val="24"/>
        </w:rPr>
        <w:t xml:space="preserve">Sunarya, W., &amp; Taufik, G. A. (2018). </w:t>
      </w:r>
      <w:r w:rsidRPr="00EC056C">
        <w:rPr>
          <w:i/>
          <w:iCs/>
          <w:noProof/>
          <w:sz w:val="24"/>
        </w:rPr>
        <w:t>Penghantar Hukum Minyak dan Gas Indonesia</w:t>
      </w:r>
      <w:r w:rsidRPr="00EC056C">
        <w:rPr>
          <w:noProof/>
          <w:sz w:val="24"/>
        </w:rPr>
        <w:t>. Kantor Hukum Wibowo &amp; Rekan.</w:t>
      </w:r>
    </w:p>
    <w:p w14:paraId="7B7E7EA5" w14:textId="77777777" w:rsidR="00EC056C" w:rsidRPr="00EC056C" w:rsidRDefault="00EC056C" w:rsidP="00EC056C">
      <w:pPr>
        <w:widowControl w:val="0"/>
        <w:autoSpaceDE w:val="0"/>
        <w:autoSpaceDN w:val="0"/>
        <w:adjustRightInd w:val="0"/>
        <w:spacing w:line="276" w:lineRule="auto"/>
        <w:ind w:left="480" w:hanging="480"/>
        <w:jc w:val="both"/>
        <w:rPr>
          <w:noProof/>
          <w:sz w:val="24"/>
        </w:rPr>
      </w:pPr>
      <w:r w:rsidRPr="00EC056C">
        <w:rPr>
          <w:noProof/>
          <w:sz w:val="24"/>
        </w:rPr>
        <w:t xml:space="preserve">Tambunan, M. R. U. D., &amp; Togatorop, G. (2021). Dualisme Ketentuan Cost Recovery Sebagai Dasar Pungutan Negara Pada Industri Hulu Migas. </w:t>
      </w:r>
      <w:r w:rsidRPr="00EC056C">
        <w:rPr>
          <w:i/>
          <w:iCs/>
          <w:noProof/>
          <w:sz w:val="24"/>
        </w:rPr>
        <w:t>Veritas et Justitia</w:t>
      </w:r>
      <w:r w:rsidRPr="00EC056C">
        <w:rPr>
          <w:noProof/>
          <w:sz w:val="24"/>
        </w:rPr>
        <w:t xml:space="preserve">, </w:t>
      </w:r>
      <w:r w:rsidRPr="00EC056C">
        <w:rPr>
          <w:i/>
          <w:iCs/>
          <w:noProof/>
          <w:sz w:val="24"/>
        </w:rPr>
        <w:t>7</w:t>
      </w:r>
      <w:r w:rsidRPr="00EC056C">
        <w:rPr>
          <w:noProof/>
          <w:sz w:val="24"/>
        </w:rPr>
        <w:t>(1), 56–90.</w:t>
      </w:r>
    </w:p>
    <w:p w14:paraId="3ECD8431" w14:textId="77777777" w:rsidR="00EC056C" w:rsidRPr="00EC056C" w:rsidRDefault="00EC056C" w:rsidP="00EC056C">
      <w:pPr>
        <w:widowControl w:val="0"/>
        <w:autoSpaceDE w:val="0"/>
        <w:autoSpaceDN w:val="0"/>
        <w:adjustRightInd w:val="0"/>
        <w:spacing w:line="276" w:lineRule="auto"/>
        <w:ind w:left="480" w:hanging="480"/>
        <w:jc w:val="both"/>
        <w:rPr>
          <w:noProof/>
          <w:sz w:val="24"/>
        </w:rPr>
      </w:pPr>
      <w:r w:rsidRPr="00EC056C">
        <w:rPr>
          <w:noProof/>
          <w:sz w:val="24"/>
        </w:rPr>
        <w:t xml:space="preserve">Yudho, W., &amp; Wignjosoebroto, S. (2002). Sosok guru dan ilmuwan yang kritis dan konsisten: kumpulan tulisan peringatan 70 tahun Prof. Soetandyo Wignjosoebroto. </w:t>
      </w:r>
      <w:r w:rsidRPr="00EC056C">
        <w:rPr>
          <w:i/>
          <w:iCs/>
          <w:noProof/>
          <w:sz w:val="24"/>
        </w:rPr>
        <w:t>(No Title)</w:t>
      </w:r>
      <w:r w:rsidRPr="00EC056C">
        <w:rPr>
          <w:noProof/>
          <w:sz w:val="24"/>
        </w:rPr>
        <w:t>.</w:t>
      </w:r>
    </w:p>
    <w:p w14:paraId="6D551634" w14:textId="77777777" w:rsidR="00EC056C" w:rsidRPr="00EC056C" w:rsidRDefault="00EC056C" w:rsidP="00EC056C">
      <w:pPr>
        <w:widowControl w:val="0"/>
        <w:autoSpaceDE w:val="0"/>
        <w:autoSpaceDN w:val="0"/>
        <w:adjustRightInd w:val="0"/>
        <w:spacing w:line="276" w:lineRule="auto"/>
        <w:ind w:left="480" w:hanging="480"/>
        <w:jc w:val="both"/>
        <w:rPr>
          <w:noProof/>
          <w:sz w:val="24"/>
        </w:rPr>
      </w:pPr>
      <w:r w:rsidRPr="00EC056C">
        <w:rPr>
          <w:noProof/>
          <w:sz w:val="24"/>
        </w:rPr>
        <w:t xml:space="preserve">Yuniza, M. E., Rebecca, A. G., &amp; Ramadhaniati, R. C. (2020). A necessity or a premature move?: the shift of indonesian production sharing contract in the oil and gas industry. </w:t>
      </w:r>
      <w:r w:rsidRPr="00EC056C">
        <w:rPr>
          <w:i/>
          <w:iCs/>
          <w:noProof/>
          <w:sz w:val="24"/>
        </w:rPr>
        <w:t>International Journal of Energy Economics and Policy</w:t>
      </w:r>
      <w:r w:rsidRPr="00EC056C">
        <w:rPr>
          <w:noProof/>
          <w:sz w:val="24"/>
        </w:rPr>
        <w:t xml:space="preserve">, </w:t>
      </w:r>
      <w:r w:rsidRPr="00EC056C">
        <w:rPr>
          <w:i/>
          <w:iCs/>
          <w:noProof/>
          <w:sz w:val="24"/>
        </w:rPr>
        <w:t>10</w:t>
      </w:r>
      <w:r w:rsidRPr="00EC056C">
        <w:rPr>
          <w:noProof/>
          <w:sz w:val="24"/>
        </w:rPr>
        <w:t>(4), 251–257.</w:t>
      </w:r>
    </w:p>
    <w:p w14:paraId="7441B0E3" w14:textId="77777777" w:rsidR="00EC056C" w:rsidRPr="00EC056C" w:rsidRDefault="00EC056C" w:rsidP="00EC056C">
      <w:pPr>
        <w:widowControl w:val="0"/>
        <w:autoSpaceDE w:val="0"/>
        <w:autoSpaceDN w:val="0"/>
        <w:adjustRightInd w:val="0"/>
        <w:spacing w:line="276" w:lineRule="auto"/>
        <w:ind w:left="480" w:hanging="480"/>
        <w:jc w:val="both"/>
        <w:rPr>
          <w:noProof/>
          <w:sz w:val="24"/>
        </w:rPr>
      </w:pPr>
      <w:r w:rsidRPr="00EC056C">
        <w:rPr>
          <w:noProof/>
          <w:sz w:val="24"/>
        </w:rPr>
        <w:t xml:space="preserve">Yuniza, M. E., Triatmodjo, M., &amp; Evania, R. (2016). Gas governance in Indonesia. </w:t>
      </w:r>
      <w:r w:rsidRPr="00EC056C">
        <w:rPr>
          <w:i/>
          <w:iCs/>
          <w:noProof/>
          <w:sz w:val="24"/>
        </w:rPr>
        <w:t>The Journal of World Energy Law &amp; Business</w:t>
      </w:r>
      <w:r w:rsidRPr="00EC056C">
        <w:rPr>
          <w:noProof/>
          <w:sz w:val="24"/>
        </w:rPr>
        <w:t xml:space="preserve">, </w:t>
      </w:r>
      <w:r w:rsidRPr="00EC056C">
        <w:rPr>
          <w:i/>
          <w:iCs/>
          <w:noProof/>
          <w:sz w:val="24"/>
        </w:rPr>
        <w:t>9</w:t>
      </w:r>
      <w:r w:rsidRPr="00EC056C">
        <w:rPr>
          <w:noProof/>
          <w:sz w:val="24"/>
        </w:rPr>
        <w:t>(2), 124–134.</w:t>
      </w:r>
    </w:p>
    <w:p w14:paraId="172BF92A" w14:textId="77777777" w:rsidR="00EC056C" w:rsidRPr="00EC056C" w:rsidRDefault="00EC056C" w:rsidP="00EC056C">
      <w:pPr>
        <w:widowControl w:val="0"/>
        <w:autoSpaceDE w:val="0"/>
        <w:autoSpaceDN w:val="0"/>
        <w:adjustRightInd w:val="0"/>
        <w:spacing w:line="276" w:lineRule="auto"/>
        <w:ind w:left="480" w:hanging="480"/>
        <w:jc w:val="both"/>
        <w:rPr>
          <w:noProof/>
          <w:sz w:val="24"/>
        </w:rPr>
      </w:pPr>
      <w:r w:rsidRPr="00EC056C">
        <w:rPr>
          <w:noProof/>
          <w:sz w:val="24"/>
        </w:rPr>
        <w:t xml:space="preserve">Yuniza, M. E., Widyaparaga, A., Wicaksono, R., &amp; Krisnadevi, P. S. (2016). Natural gas aggregation and the opportunity for synchronization under Indonesian law. </w:t>
      </w:r>
      <w:r w:rsidRPr="00EC056C">
        <w:rPr>
          <w:i/>
          <w:iCs/>
          <w:noProof/>
          <w:sz w:val="24"/>
        </w:rPr>
        <w:t>The Journal of World Energy Law &amp; Business</w:t>
      </w:r>
      <w:r w:rsidRPr="00EC056C">
        <w:rPr>
          <w:noProof/>
          <w:sz w:val="24"/>
        </w:rPr>
        <w:t xml:space="preserve">, </w:t>
      </w:r>
      <w:r w:rsidRPr="00EC056C">
        <w:rPr>
          <w:i/>
          <w:iCs/>
          <w:noProof/>
          <w:sz w:val="24"/>
        </w:rPr>
        <w:t>9</w:t>
      </w:r>
      <w:r w:rsidRPr="00EC056C">
        <w:rPr>
          <w:noProof/>
          <w:sz w:val="24"/>
        </w:rPr>
        <w:t>(5), 388–409.</w:t>
      </w:r>
    </w:p>
    <w:p w14:paraId="371C731C" w14:textId="0248D100" w:rsidR="00373509" w:rsidRPr="00F05653" w:rsidRDefault="00EC056C" w:rsidP="00EC056C">
      <w:pPr>
        <w:pStyle w:val="BodyText"/>
        <w:spacing w:line="276" w:lineRule="auto"/>
        <w:ind w:left="426" w:right="98" w:hanging="426"/>
        <w:rPr>
          <w:bCs/>
          <w:sz w:val="24"/>
          <w:szCs w:val="24"/>
          <w:lang w:val="en-GB"/>
        </w:rPr>
      </w:pPr>
      <w:r>
        <w:rPr>
          <w:bCs/>
          <w:sz w:val="24"/>
          <w:szCs w:val="24"/>
          <w:lang w:val="en-GB"/>
        </w:rPr>
        <w:fldChar w:fldCharType="end"/>
      </w:r>
    </w:p>
    <w:sectPr w:rsidR="00373509" w:rsidRPr="00F05653"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E7602" w14:textId="77777777" w:rsidR="00F73573" w:rsidRDefault="00F73573" w:rsidP="00E544C8">
      <w:r>
        <w:separator/>
      </w:r>
    </w:p>
  </w:endnote>
  <w:endnote w:type="continuationSeparator" w:id="0">
    <w:p w14:paraId="00D8DA12" w14:textId="77777777" w:rsidR="00F73573" w:rsidRDefault="00F73573"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1FAD" w14:textId="3CC0384F" w:rsidR="00751BB6" w:rsidRPr="00471F60" w:rsidRDefault="00751BB6"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6D4EDB">
      <w:rPr>
        <w:noProof/>
      </w:rPr>
      <w:t>6</w:t>
    </w:r>
    <w:r>
      <w:fldChar w:fldCharType="end"/>
    </w:r>
    <w:r>
      <w:t xml:space="preserve">  </w:t>
    </w:r>
    <w:r w:rsidR="0057263C">
      <w:tab/>
    </w:r>
    <w:r w:rsidR="0057263C">
      <w:tab/>
    </w:r>
    <w:r w:rsidR="0057263C">
      <w:tab/>
    </w:r>
    <w:r w:rsidR="0057263C">
      <w:tab/>
    </w:r>
    <w:r w:rsidR="0057263C">
      <w:tab/>
    </w:r>
    <w:r w:rsidR="0057263C">
      <w:tab/>
    </w:r>
    <w:r w:rsidR="0057263C">
      <w:tab/>
      <w:t xml:space="preserve">   </w:t>
    </w:r>
    <w:r w:rsidR="00AA7648">
      <w:tab/>
    </w:r>
    <w:r w:rsidR="0057263C">
      <w:t xml:space="preserve">     </w:t>
    </w:r>
    <w:r w:rsidR="00AA7648">
      <w:tab/>
    </w:r>
    <w:r w:rsidR="0057263C" w:rsidRPr="00471F60">
      <w:rPr>
        <w:rFonts w:asciiTheme="majorBidi" w:hAnsiTheme="majorBidi" w:cstheme="majorBidi"/>
        <w:b/>
        <w:bCs/>
        <w:i/>
        <w:iCs/>
      </w:rPr>
      <w:t>Vol., No.</w:t>
    </w:r>
    <w:r w:rsidR="00AA7648"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11197CE3" w:rsidR="00751BB6" w:rsidRPr="00AA7648" w:rsidRDefault="00751BB6"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6D4EDB">
      <w:rPr>
        <w:noProof/>
      </w:rPr>
      <w:t>5</w:t>
    </w:r>
    <w:r>
      <w:fldChar w:fldCharType="end"/>
    </w:r>
    <w:r>
      <w:t xml:space="preserve">                   </w:t>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t xml:space="preserve">        </w:t>
    </w:r>
    <w:r w:rsidR="00AA7648">
      <w:rPr>
        <w:rFonts w:ascii="Book Antiqua" w:hAnsi="Book Antiqua"/>
        <w:i/>
        <w:iCs/>
      </w:rPr>
      <w:tab/>
    </w:r>
    <w:r w:rsidR="00AA7648">
      <w:rPr>
        <w:rFonts w:ascii="Book Antiqua" w:hAnsi="Book Antiqua"/>
        <w:i/>
        <w:iCs/>
      </w:rPr>
      <w:tab/>
    </w:r>
    <w:r w:rsidR="00471F60" w:rsidRPr="00471F60">
      <w:rPr>
        <w:rFonts w:asciiTheme="majorBidi" w:hAnsiTheme="majorBidi" w:cstheme="majorBidi"/>
        <w:b/>
        <w:bCs/>
        <w:i/>
        <w:iCs/>
      </w:rPr>
      <w:t>Vol., No.</w:t>
    </w:r>
    <w:r w:rsidR="00471F60"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FA6D77" w:rsidRPr="00FA6D77">
          <w:rPr>
            <w:noProof/>
            <w:sz w:val="24"/>
            <w:szCs w:val="24"/>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11F94" w14:textId="77777777" w:rsidR="00F73573" w:rsidRDefault="00F73573" w:rsidP="00E544C8">
      <w:r>
        <w:separator/>
      </w:r>
    </w:p>
  </w:footnote>
  <w:footnote w:type="continuationSeparator" w:id="0">
    <w:p w14:paraId="2AD9A572" w14:textId="77777777" w:rsidR="00F73573" w:rsidRDefault="00F73573"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8432E" w14:textId="77777777" w:rsidR="00AA7648" w:rsidRDefault="00AA7648" w:rsidP="00F62874">
    <w:pPr>
      <w:pStyle w:val="Footer"/>
      <w:jc w:val="both"/>
      <w:rPr>
        <w:rFonts w:ascii="Book Antiqua" w:hAnsi="Book Antiqua"/>
        <w:i/>
        <w:iCs/>
      </w:rPr>
    </w:pPr>
  </w:p>
  <w:p w14:paraId="77282208" w14:textId="1D64D766" w:rsidR="00E56BE0" w:rsidRPr="00E56BE0" w:rsidRDefault="00E56BE0" w:rsidP="00E56BE0">
    <w:pPr>
      <w:pStyle w:val="Footer"/>
      <w:jc w:val="both"/>
      <w:rPr>
        <w:rFonts w:asciiTheme="majorBidi" w:hAnsiTheme="majorBidi" w:cstheme="majorBidi"/>
        <w:b/>
        <w:bCs/>
        <w:i/>
        <w:iCs/>
        <w:lang w:val="en-ID"/>
      </w:rPr>
    </w:pPr>
    <w:r w:rsidRPr="00E56BE0">
      <w:rPr>
        <w:rFonts w:asciiTheme="majorBidi" w:hAnsiTheme="majorBidi" w:cstheme="majorBidi"/>
        <w:b/>
        <w:bCs/>
        <w:i/>
        <w:iCs/>
        <w:lang w:val="en-ID"/>
      </w:rPr>
      <w:t>Legal Dilemma of Abortion Regulation for Rape Victims in Indonesia from the Perspective of Justic</w:t>
    </w:r>
    <w:r>
      <w:rPr>
        <w:rFonts w:asciiTheme="majorBidi" w:hAnsiTheme="majorBidi" w:cstheme="majorBidi"/>
        <w:b/>
        <w:bCs/>
        <w:i/>
        <w:iCs/>
        <w:lang w:val="en-ID"/>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FCA49" w14:textId="77777777" w:rsidR="00AA7648" w:rsidRDefault="00AA7648" w:rsidP="00AA7648">
    <w:pPr>
      <w:ind w:right="969"/>
      <w:jc w:val="both"/>
      <w:rPr>
        <w:rFonts w:ascii="Book Antiqua" w:hAnsi="Book Antiqua"/>
        <w:i/>
        <w:iCs/>
      </w:rPr>
    </w:pPr>
  </w:p>
  <w:p w14:paraId="159B9C47" w14:textId="38452165" w:rsidR="00B57478" w:rsidRPr="00E56BE0" w:rsidRDefault="00E56BE0" w:rsidP="00E56BE0">
    <w:pPr>
      <w:spacing w:line="276" w:lineRule="auto"/>
      <w:ind w:right="969"/>
      <w:jc w:val="both"/>
      <w:rPr>
        <w:rFonts w:asciiTheme="majorBidi" w:hAnsiTheme="majorBidi" w:cstheme="majorBidi"/>
        <w:b/>
        <w:bCs/>
        <w:i/>
        <w:iCs/>
        <w:sz w:val="18"/>
        <w:szCs w:val="18"/>
        <w:lang w:val="en-ID"/>
      </w:rPr>
    </w:pPr>
    <w:r w:rsidRPr="00E56BE0">
      <w:rPr>
        <w:rFonts w:asciiTheme="majorBidi" w:hAnsiTheme="majorBidi" w:cstheme="majorBidi"/>
        <w:b/>
        <w:bCs/>
        <w:i/>
        <w:iCs/>
        <w:sz w:val="18"/>
        <w:szCs w:val="18"/>
        <w:lang w:val="en-ID"/>
      </w:rPr>
      <w:t>Legal Dilemma of Abortion Regulation for Rape Victims in Indonesia from the Perspective of Justice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 xml:space="preserve">P-ISSN: </w:t>
    </w:r>
    <w:r w:rsidRPr="00377069">
      <w:tab/>
      <w:t xml:space="preserve">2827-9832 </w:t>
    </w:r>
  </w:p>
  <w:p w14:paraId="02045BB7" w14:textId="6E08F775" w:rsidR="008F7027" w:rsidRDefault="008F7027" w:rsidP="00712731">
    <w:pPr>
      <w:ind w:right="98"/>
      <w:jc w:val="right"/>
    </w:pPr>
    <w:r>
      <w:t>E-ISSN: 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672"/>
    <w:multiLevelType w:val="hybridMultilevel"/>
    <w:tmpl w:val="C046EE1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01DA3319"/>
    <w:multiLevelType w:val="hybridMultilevel"/>
    <w:tmpl w:val="F794847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 w15:restartNumberingAfterBreak="0">
    <w:nsid w:val="07B555BB"/>
    <w:multiLevelType w:val="hybridMultilevel"/>
    <w:tmpl w:val="45346BB2"/>
    <w:lvl w:ilvl="0" w:tplc="E8EC21E2">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15:restartNumberingAfterBreak="0">
    <w:nsid w:val="082E723F"/>
    <w:multiLevelType w:val="hybridMultilevel"/>
    <w:tmpl w:val="42341F62"/>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 w15:restartNumberingAfterBreak="0">
    <w:nsid w:val="099F4091"/>
    <w:multiLevelType w:val="hybridMultilevel"/>
    <w:tmpl w:val="7E8C4CC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9D67CBD"/>
    <w:multiLevelType w:val="hybridMultilevel"/>
    <w:tmpl w:val="C7326042"/>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6" w15:restartNumberingAfterBreak="0">
    <w:nsid w:val="0A631E71"/>
    <w:multiLevelType w:val="hybridMultilevel"/>
    <w:tmpl w:val="2128740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7" w15:restartNumberingAfterBreak="0">
    <w:nsid w:val="0B1547A5"/>
    <w:multiLevelType w:val="hybridMultilevel"/>
    <w:tmpl w:val="B8366B30"/>
    <w:lvl w:ilvl="0" w:tplc="04090019">
      <w:start w:val="1"/>
      <w:numFmt w:val="lowerLetter"/>
      <w:lvlText w:val="%1."/>
      <w:lvlJc w:val="left"/>
      <w:pPr>
        <w:ind w:left="1009" w:hanging="360"/>
      </w:pPr>
    </w:lvl>
    <w:lvl w:ilvl="1" w:tplc="7C484424">
      <w:numFmt w:val="bullet"/>
      <w:lvlText w:val="•"/>
      <w:lvlJc w:val="left"/>
      <w:pPr>
        <w:ind w:left="1804" w:hanging="435"/>
      </w:pPr>
      <w:rPr>
        <w:rFonts w:ascii="Times New Roman" w:eastAsia="Times New Roman" w:hAnsi="Times New Roman" w:cs="Times New Roman" w:hint="default"/>
      </w:r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8" w15:restartNumberingAfterBreak="0">
    <w:nsid w:val="0B5D12B0"/>
    <w:multiLevelType w:val="hybridMultilevel"/>
    <w:tmpl w:val="3D9A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3765B"/>
    <w:multiLevelType w:val="hybridMultilevel"/>
    <w:tmpl w:val="CA244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E1CCF"/>
    <w:multiLevelType w:val="hybridMultilevel"/>
    <w:tmpl w:val="EF9A7AE0"/>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1"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D9506C1"/>
    <w:multiLevelType w:val="hybridMultilevel"/>
    <w:tmpl w:val="8C4A952C"/>
    <w:lvl w:ilvl="0" w:tplc="04090011">
      <w:start w:val="1"/>
      <w:numFmt w:val="decimal"/>
      <w:lvlText w:val="%1)"/>
      <w:lvlJc w:val="left"/>
      <w:pPr>
        <w:ind w:left="2089" w:hanging="360"/>
      </w:pPr>
    </w:lvl>
    <w:lvl w:ilvl="1" w:tplc="04090019">
      <w:start w:val="1"/>
      <w:numFmt w:val="lowerLetter"/>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3" w15:restartNumberingAfterBreak="0">
    <w:nsid w:val="20B17006"/>
    <w:multiLevelType w:val="hybridMultilevel"/>
    <w:tmpl w:val="BE9037E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 w15:restartNumberingAfterBreak="0">
    <w:nsid w:val="27151246"/>
    <w:multiLevelType w:val="hybridMultilevel"/>
    <w:tmpl w:val="7748A66E"/>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5" w15:restartNumberingAfterBreak="0">
    <w:nsid w:val="2BAF0ED8"/>
    <w:multiLevelType w:val="hybridMultilevel"/>
    <w:tmpl w:val="6A188F44"/>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7">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6" w15:restartNumberingAfterBreak="0">
    <w:nsid w:val="2D391524"/>
    <w:multiLevelType w:val="hybridMultilevel"/>
    <w:tmpl w:val="826629AE"/>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7" w15:restartNumberingAfterBreak="0">
    <w:nsid w:val="318910C5"/>
    <w:multiLevelType w:val="hybridMultilevel"/>
    <w:tmpl w:val="2892C48A"/>
    <w:lvl w:ilvl="0" w:tplc="04090011">
      <w:start w:val="1"/>
      <w:numFmt w:val="decimal"/>
      <w:lvlText w:val="%1)"/>
      <w:lvlJc w:val="left"/>
      <w:pPr>
        <w:ind w:left="2089" w:hanging="360"/>
      </w:pPr>
    </w:lvl>
    <w:lvl w:ilvl="1" w:tplc="04090011">
      <w:start w:val="1"/>
      <w:numFmt w:val="decimal"/>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8"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160C6"/>
    <w:multiLevelType w:val="hybridMultilevel"/>
    <w:tmpl w:val="CF84757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0"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A8F51D3"/>
    <w:multiLevelType w:val="hybridMultilevel"/>
    <w:tmpl w:val="8836EB16"/>
    <w:lvl w:ilvl="0" w:tplc="2B445190">
      <w:start w:val="2"/>
      <w:numFmt w:val="decimal"/>
      <w:lvlText w:val="%1)"/>
      <w:lvlJc w:val="left"/>
      <w:pPr>
        <w:ind w:left="17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3"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E4273F"/>
    <w:multiLevelType w:val="hybridMultilevel"/>
    <w:tmpl w:val="92B01074"/>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5" w15:restartNumberingAfterBreak="0">
    <w:nsid w:val="3EEA5B77"/>
    <w:multiLevelType w:val="hybridMultilevel"/>
    <w:tmpl w:val="78503A4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7">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152271C"/>
    <w:multiLevelType w:val="hybridMultilevel"/>
    <w:tmpl w:val="5184A15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15:restartNumberingAfterBreak="0">
    <w:nsid w:val="41B8670D"/>
    <w:multiLevelType w:val="hybridMultilevel"/>
    <w:tmpl w:val="E7CAD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4EDB7A82"/>
    <w:multiLevelType w:val="hybridMultilevel"/>
    <w:tmpl w:val="880EEE34"/>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3" w15:restartNumberingAfterBreak="0">
    <w:nsid w:val="4FD14809"/>
    <w:multiLevelType w:val="hybridMultilevel"/>
    <w:tmpl w:val="8924C75A"/>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4" w15:restartNumberingAfterBreak="0">
    <w:nsid w:val="504B054B"/>
    <w:multiLevelType w:val="hybridMultilevel"/>
    <w:tmpl w:val="8C10A86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5" w15:restartNumberingAfterBreak="0">
    <w:nsid w:val="50D825B7"/>
    <w:multiLevelType w:val="hybridMultilevel"/>
    <w:tmpl w:val="230E3672"/>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6" w15:restartNumberingAfterBreak="0">
    <w:nsid w:val="58840A89"/>
    <w:multiLevelType w:val="hybridMultilevel"/>
    <w:tmpl w:val="95EE5BBA"/>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7">
      <w:start w:val="1"/>
      <w:numFmt w:val="lowerLetter"/>
      <w:lvlText w:val="%3)"/>
      <w:lvlJc w:val="lef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D0608E0"/>
    <w:multiLevelType w:val="hybridMultilevel"/>
    <w:tmpl w:val="492EEA8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9" w15:restartNumberingAfterBreak="0">
    <w:nsid w:val="5DF67210"/>
    <w:multiLevelType w:val="hybridMultilevel"/>
    <w:tmpl w:val="48901DD4"/>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BFC451AE">
      <w:numFmt w:val="bullet"/>
      <w:lvlText w:val="•"/>
      <w:lvlJc w:val="left"/>
      <w:pPr>
        <w:ind w:left="2704" w:hanging="435"/>
      </w:pPr>
      <w:rPr>
        <w:rFonts w:ascii="Times New Roman" w:eastAsia="Times New Roman" w:hAnsi="Times New Roman" w:cs="Times New Roman" w:hint="default"/>
      </w:r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0" w15:restartNumberingAfterBreak="0">
    <w:nsid w:val="673F2F6A"/>
    <w:multiLevelType w:val="hybridMultilevel"/>
    <w:tmpl w:val="5638104C"/>
    <w:lvl w:ilvl="0" w:tplc="04090011">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41" w15:restartNumberingAfterBreak="0">
    <w:nsid w:val="69D553F4"/>
    <w:multiLevelType w:val="hybridMultilevel"/>
    <w:tmpl w:val="03B6CDF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2" w15:restartNumberingAfterBreak="0">
    <w:nsid w:val="6A871975"/>
    <w:multiLevelType w:val="hybridMultilevel"/>
    <w:tmpl w:val="B85C1EE6"/>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3" w15:restartNumberingAfterBreak="0">
    <w:nsid w:val="6B1B2DBE"/>
    <w:multiLevelType w:val="hybridMultilevel"/>
    <w:tmpl w:val="08863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210B63"/>
    <w:multiLevelType w:val="hybridMultilevel"/>
    <w:tmpl w:val="0C545F32"/>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5" w15:restartNumberingAfterBreak="0">
    <w:nsid w:val="6D2D2E68"/>
    <w:multiLevelType w:val="hybridMultilevel"/>
    <w:tmpl w:val="07385B6C"/>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9">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6" w15:restartNumberingAfterBreak="0">
    <w:nsid w:val="6EBE3AAE"/>
    <w:multiLevelType w:val="hybridMultilevel"/>
    <w:tmpl w:val="BD46ADF6"/>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7" w15:restartNumberingAfterBreak="0">
    <w:nsid w:val="6F9E4247"/>
    <w:multiLevelType w:val="hybridMultilevel"/>
    <w:tmpl w:val="D56A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B937F4"/>
    <w:multiLevelType w:val="hybridMultilevel"/>
    <w:tmpl w:val="BA700108"/>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9" w15:restartNumberingAfterBreak="0">
    <w:nsid w:val="76E460EC"/>
    <w:multiLevelType w:val="hybridMultilevel"/>
    <w:tmpl w:val="22486982"/>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50" w15:restartNumberingAfterBreak="0">
    <w:nsid w:val="7C1E5394"/>
    <w:multiLevelType w:val="hybridMultilevel"/>
    <w:tmpl w:val="1CF6532E"/>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num w:numId="1" w16cid:durableId="268509867">
    <w:abstractNumId w:val="27"/>
  </w:num>
  <w:num w:numId="2" w16cid:durableId="138697541">
    <w:abstractNumId w:val="30"/>
  </w:num>
  <w:num w:numId="3" w16cid:durableId="1949660888">
    <w:abstractNumId w:val="31"/>
  </w:num>
  <w:num w:numId="4" w16cid:durableId="1967153052">
    <w:abstractNumId w:val="22"/>
  </w:num>
  <w:num w:numId="5" w16cid:durableId="1382099609">
    <w:abstractNumId w:val="23"/>
  </w:num>
  <w:num w:numId="6" w16cid:durableId="1921597410">
    <w:abstractNumId w:val="18"/>
  </w:num>
  <w:num w:numId="7" w16cid:durableId="256183244">
    <w:abstractNumId w:val="20"/>
  </w:num>
  <w:num w:numId="8" w16cid:durableId="1444810389">
    <w:abstractNumId w:val="37"/>
  </w:num>
  <w:num w:numId="9" w16cid:durableId="1596746798">
    <w:abstractNumId w:val="11"/>
  </w:num>
  <w:num w:numId="10" w16cid:durableId="58210717">
    <w:abstractNumId w:val="29"/>
  </w:num>
  <w:num w:numId="11" w16cid:durableId="641275043">
    <w:abstractNumId w:val="7"/>
  </w:num>
  <w:num w:numId="12" w16cid:durableId="1648704235">
    <w:abstractNumId w:val="5"/>
  </w:num>
  <w:num w:numId="13" w16cid:durableId="2103332863">
    <w:abstractNumId w:val="39"/>
  </w:num>
  <w:num w:numId="14" w16cid:durableId="1990740493">
    <w:abstractNumId w:val="21"/>
  </w:num>
  <w:num w:numId="15" w16cid:durableId="911894520">
    <w:abstractNumId w:val="16"/>
  </w:num>
  <w:num w:numId="16" w16cid:durableId="1352299354">
    <w:abstractNumId w:val="19"/>
  </w:num>
  <w:num w:numId="17" w16cid:durableId="2019116446">
    <w:abstractNumId w:val="12"/>
  </w:num>
  <w:num w:numId="18" w16cid:durableId="524094818">
    <w:abstractNumId w:val="17"/>
  </w:num>
  <w:num w:numId="19" w16cid:durableId="510531094">
    <w:abstractNumId w:val="10"/>
  </w:num>
  <w:num w:numId="20" w16cid:durableId="97213818">
    <w:abstractNumId w:val="6"/>
  </w:num>
  <w:num w:numId="21" w16cid:durableId="836456275">
    <w:abstractNumId w:val="33"/>
  </w:num>
  <w:num w:numId="22" w16cid:durableId="219440947">
    <w:abstractNumId w:val="3"/>
  </w:num>
  <w:num w:numId="23" w16cid:durableId="1265112329">
    <w:abstractNumId w:val="1"/>
  </w:num>
  <w:num w:numId="24" w16cid:durableId="426997139">
    <w:abstractNumId w:val="40"/>
  </w:num>
  <w:num w:numId="25" w16cid:durableId="556819174">
    <w:abstractNumId w:val="26"/>
  </w:num>
  <w:num w:numId="26" w16cid:durableId="1268349437">
    <w:abstractNumId w:val="42"/>
  </w:num>
  <w:num w:numId="27" w16cid:durableId="1167789996">
    <w:abstractNumId w:val="24"/>
  </w:num>
  <w:num w:numId="28" w16cid:durableId="557476346">
    <w:abstractNumId w:val="38"/>
  </w:num>
  <w:num w:numId="29" w16cid:durableId="2064403122">
    <w:abstractNumId w:val="44"/>
  </w:num>
  <w:num w:numId="30" w16cid:durableId="949624777">
    <w:abstractNumId w:val="34"/>
  </w:num>
  <w:num w:numId="31" w16cid:durableId="658382354">
    <w:abstractNumId w:val="48"/>
  </w:num>
  <w:num w:numId="32" w16cid:durableId="1814062915">
    <w:abstractNumId w:val="14"/>
  </w:num>
  <w:num w:numId="33" w16cid:durableId="1587154662">
    <w:abstractNumId w:val="50"/>
  </w:num>
  <w:num w:numId="34" w16cid:durableId="1606496291">
    <w:abstractNumId w:val="45"/>
  </w:num>
  <w:num w:numId="35" w16cid:durableId="1911770433">
    <w:abstractNumId w:val="15"/>
  </w:num>
  <w:num w:numId="36" w16cid:durableId="798378122">
    <w:abstractNumId w:val="2"/>
  </w:num>
  <w:num w:numId="37" w16cid:durableId="503593858">
    <w:abstractNumId w:val="49"/>
  </w:num>
  <w:num w:numId="38" w16cid:durableId="1614752738">
    <w:abstractNumId w:val="46"/>
  </w:num>
  <w:num w:numId="39" w16cid:durableId="1759403952">
    <w:abstractNumId w:val="4"/>
  </w:num>
  <w:num w:numId="40" w16cid:durableId="1797521599">
    <w:abstractNumId w:val="25"/>
  </w:num>
  <w:num w:numId="41" w16cid:durableId="696584538">
    <w:abstractNumId w:val="35"/>
  </w:num>
  <w:num w:numId="42" w16cid:durableId="1329360810">
    <w:abstractNumId w:val="36"/>
  </w:num>
  <w:num w:numId="43" w16cid:durableId="333268241">
    <w:abstractNumId w:val="43"/>
  </w:num>
  <w:num w:numId="44" w16cid:durableId="1166751635">
    <w:abstractNumId w:val="28"/>
  </w:num>
  <w:num w:numId="45" w16cid:durableId="1500846100">
    <w:abstractNumId w:val="47"/>
  </w:num>
  <w:num w:numId="46" w16cid:durableId="551815988">
    <w:abstractNumId w:val="9"/>
  </w:num>
  <w:num w:numId="47" w16cid:durableId="1820540258">
    <w:abstractNumId w:val="8"/>
  </w:num>
  <w:num w:numId="48" w16cid:durableId="4822348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82059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1457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2561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0150F"/>
    <w:rsid w:val="00004719"/>
    <w:rsid w:val="000122DE"/>
    <w:rsid w:val="000137E8"/>
    <w:rsid w:val="000212E4"/>
    <w:rsid w:val="00021ECF"/>
    <w:rsid w:val="00026CD6"/>
    <w:rsid w:val="000319F8"/>
    <w:rsid w:val="00037746"/>
    <w:rsid w:val="0004450B"/>
    <w:rsid w:val="000522CD"/>
    <w:rsid w:val="00052992"/>
    <w:rsid w:val="00064C39"/>
    <w:rsid w:val="0006591F"/>
    <w:rsid w:val="00072C06"/>
    <w:rsid w:val="00073895"/>
    <w:rsid w:val="000753FA"/>
    <w:rsid w:val="000760CA"/>
    <w:rsid w:val="00082800"/>
    <w:rsid w:val="00086A88"/>
    <w:rsid w:val="000A1366"/>
    <w:rsid w:val="000A2E93"/>
    <w:rsid w:val="000D4BE1"/>
    <w:rsid w:val="000E3594"/>
    <w:rsid w:val="000F55CD"/>
    <w:rsid w:val="00112A59"/>
    <w:rsid w:val="00113374"/>
    <w:rsid w:val="00114D27"/>
    <w:rsid w:val="00126F46"/>
    <w:rsid w:val="0013321E"/>
    <w:rsid w:val="00136E00"/>
    <w:rsid w:val="001446E4"/>
    <w:rsid w:val="00155CE5"/>
    <w:rsid w:val="001616E1"/>
    <w:rsid w:val="0016402F"/>
    <w:rsid w:val="001912DB"/>
    <w:rsid w:val="0019137D"/>
    <w:rsid w:val="00197986"/>
    <w:rsid w:val="001A0AB9"/>
    <w:rsid w:val="001A2E09"/>
    <w:rsid w:val="001D607C"/>
    <w:rsid w:val="001F60BD"/>
    <w:rsid w:val="00204CDF"/>
    <w:rsid w:val="002059B3"/>
    <w:rsid w:val="0021726E"/>
    <w:rsid w:val="00266CF4"/>
    <w:rsid w:val="00267441"/>
    <w:rsid w:val="00277B04"/>
    <w:rsid w:val="00277EE4"/>
    <w:rsid w:val="002842EE"/>
    <w:rsid w:val="002A5511"/>
    <w:rsid w:val="002A71E5"/>
    <w:rsid w:val="002B0D43"/>
    <w:rsid w:val="002B2E31"/>
    <w:rsid w:val="002B330D"/>
    <w:rsid w:val="002D3293"/>
    <w:rsid w:val="002D61C2"/>
    <w:rsid w:val="002E271E"/>
    <w:rsid w:val="002E2D68"/>
    <w:rsid w:val="003008A0"/>
    <w:rsid w:val="003012D7"/>
    <w:rsid w:val="00306170"/>
    <w:rsid w:val="003214E8"/>
    <w:rsid w:val="00321E4A"/>
    <w:rsid w:val="00325795"/>
    <w:rsid w:val="0035191A"/>
    <w:rsid w:val="00373509"/>
    <w:rsid w:val="00374B93"/>
    <w:rsid w:val="00377069"/>
    <w:rsid w:val="00385559"/>
    <w:rsid w:val="003A6BFB"/>
    <w:rsid w:val="003C07DC"/>
    <w:rsid w:val="003C2FE2"/>
    <w:rsid w:val="003D3DEB"/>
    <w:rsid w:val="003E331D"/>
    <w:rsid w:val="003E3DC9"/>
    <w:rsid w:val="003E6328"/>
    <w:rsid w:val="003E7D85"/>
    <w:rsid w:val="003F5FE3"/>
    <w:rsid w:val="004003DB"/>
    <w:rsid w:val="00404452"/>
    <w:rsid w:val="0041008B"/>
    <w:rsid w:val="00422157"/>
    <w:rsid w:val="004257C7"/>
    <w:rsid w:val="00430929"/>
    <w:rsid w:val="00437D3B"/>
    <w:rsid w:val="00471F60"/>
    <w:rsid w:val="00475E04"/>
    <w:rsid w:val="00477FD2"/>
    <w:rsid w:val="004818D4"/>
    <w:rsid w:val="004825D1"/>
    <w:rsid w:val="004946E5"/>
    <w:rsid w:val="004A398B"/>
    <w:rsid w:val="004B6A6B"/>
    <w:rsid w:val="004C4C1F"/>
    <w:rsid w:val="004C66BB"/>
    <w:rsid w:val="004C72E0"/>
    <w:rsid w:val="004D6913"/>
    <w:rsid w:val="004D7383"/>
    <w:rsid w:val="004E24B0"/>
    <w:rsid w:val="004E73FB"/>
    <w:rsid w:val="004F46BD"/>
    <w:rsid w:val="0051613B"/>
    <w:rsid w:val="005302AB"/>
    <w:rsid w:val="00530AE0"/>
    <w:rsid w:val="00534AA0"/>
    <w:rsid w:val="0057263C"/>
    <w:rsid w:val="00582111"/>
    <w:rsid w:val="0058311C"/>
    <w:rsid w:val="0058739D"/>
    <w:rsid w:val="00595C2F"/>
    <w:rsid w:val="005B3C63"/>
    <w:rsid w:val="005B3D5E"/>
    <w:rsid w:val="005B70BF"/>
    <w:rsid w:val="005C6186"/>
    <w:rsid w:val="005C67EC"/>
    <w:rsid w:val="0060561D"/>
    <w:rsid w:val="00637FBD"/>
    <w:rsid w:val="00651332"/>
    <w:rsid w:val="00653F65"/>
    <w:rsid w:val="006736AC"/>
    <w:rsid w:val="0067562B"/>
    <w:rsid w:val="0069049B"/>
    <w:rsid w:val="006A1D5D"/>
    <w:rsid w:val="006A1DB1"/>
    <w:rsid w:val="006A2366"/>
    <w:rsid w:val="006B0599"/>
    <w:rsid w:val="006B34E5"/>
    <w:rsid w:val="006C1748"/>
    <w:rsid w:val="006D231C"/>
    <w:rsid w:val="006D4EDB"/>
    <w:rsid w:val="006E3D15"/>
    <w:rsid w:val="006E5769"/>
    <w:rsid w:val="0070101C"/>
    <w:rsid w:val="00705C62"/>
    <w:rsid w:val="00712731"/>
    <w:rsid w:val="00713FD4"/>
    <w:rsid w:val="007201BC"/>
    <w:rsid w:val="00722636"/>
    <w:rsid w:val="00723A28"/>
    <w:rsid w:val="00725EC5"/>
    <w:rsid w:val="00740FA3"/>
    <w:rsid w:val="00744BE8"/>
    <w:rsid w:val="00751BB6"/>
    <w:rsid w:val="00751F00"/>
    <w:rsid w:val="0076609F"/>
    <w:rsid w:val="007712E9"/>
    <w:rsid w:val="00786253"/>
    <w:rsid w:val="007A4337"/>
    <w:rsid w:val="007B2B39"/>
    <w:rsid w:val="007B71B8"/>
    <w:rsid w:val="007C2974"/>
    <w:rsid w:val="007C4070"/>
    <w:rsid w:val="007E40DB"/>
    <w:rsid w:val="00804C8F"/>
    <w:rsid w:val="00805971"/>
    <w:rsid w:val="00806B32"/>
    <w:rsid w:val="008120F1"/>
    <w:rsid w:val="008160C6"/>
    <w:rsid w:val="00816731"/>
    <w:rsid w:val="00820178"/>
    <w:rsid w:val="00834B34"/>
    <w:rsid w:val="00890A9B"/>
    <w:rsid w:val="008952CB"/>
    <w:rsid w:val="008964C8"/>
    <w:rsid w:val="008D45F9"/>
    <w:rsid w:val="008E0017"/>
    <w:rsid w:val="008E50D6"/>
    <w:rsid w:val="008E5FDE"/>
    <w:rsid w:val="008F4804"/>
    <w:rsid w:val="008F7027"/>
    <w:rsid w:val="00903478"/>
    <w:rsid w:val="00910907"/>
    <w:rsid w:val="009132DF"/>
    <w:rsid w:val="009135C5"/>
    <w:rsid w:val="009147B6"/>
    <w:rsid w:val="00922ED9"/>
    <w:rsid w:val="009261EE"/>
    <w:rsid w:val="009303AF"/>
    <w:rsid w:val="0093117A"/>
    <w:rsid w:val="00942EF6"/>
    <w:rsid w:val="00952C52"/>
    <w:rsid w:val="00956A50"/>
    <w:rsid w:val="009576A2"/>
    <w:rsid w:val="00965851"/>
    <w:rsid w:val="00976890"/>
    <w:rsid w:val="009A043D"/>
    <w:rsid w:val="009A0F2F"/>
    <w:rsid w:val="009B0234"/>
    <w:rsid w:val="009C5A4C"/>
    <w:rsid w:val="009C6F2B"/>
    <w:rsid w:val="009D2F76"/>
    <w:rsid w:val="009D6024"/>
    <w:rsid w:val="009D7996"/>
    <w:rsid w:val="009F0295"/>
    <w:rsid w:val="009F691D"/>
    <w:rsid w:val="00A101E5"/>
    <w:rsid w:val="00A11FF4"/>
    <w:rsid w:val="00A24FE2"/>
    <w:rsid w:val="00A26AAE"/>
    <w:rsid w:val="00A53689"/>
    <w:rsid w:val="00A737DD"/>
    <w:rsid w:val="00A828BB"/>
    <w:rsid w:val="00A868AB"/>
    <w:rsid w:val="00A86C77"/>
    <w:rsid w:val="00AA1CFB"/>
    <w:rsid w:val="00AA40C2"/>
    <w:rsid w:val="00AA7648"/>
    <w:rsid w:val="00AC5AB2"/>
    <w:rsid w:val="00AD13B2"/>
    <w:rsid w:val="00AD5793"/>
    <w:rsid w:val="00AD79B5"/>
    <w:rsid w:val="00AE0A8D"/>
    <w:rsid w:val="00AE5FD9"/>
    <w:rsid w:val="00AF1EDC"/>
    <w:rsid w:val="00AF21D5"/>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85E11"/>
    <w:rsid w:val="00BA1B66"/>
    <w:rsid w:val="00BA763E"/>
    <w:rsid w:val="00BC0945"/>
    <w:rsid w:val="00BE321F"/>
    <w:rsid w:val="00BF1FEC"/>
    <w:rsid w:val="00C051FC"/>
    <w:rsid w:val="00C12599"/>
    <w:rsid w:val="00C23725"/>
    <w:rsid w:val="00C247F5"/>
    <w:rsid w:val="00C25F07"/>
    <w:rsid w:val="00C320BB"/>
    <w:rsid w:val="00C32A7B"/>
    <w:rsid w:val="00C3506E"/>
    <w:rsid w:val="00C36BBD"/>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25BDF"/>
    <w:rsid w:val="00D3506D"/>
    <w:rsid w:val="00D41DD5"/>
    <w:rsid w:val="00D60B6C"/>
    <w:rsid w:val="00D62C48"/>
    <w:rsid w:val="00D76369"/>
    <w:rsid w:val="00DA796D"/>
    <w:rsid w:val="00DB24BB"/>
    <w:rsid w:val="00DC6FDA"/>
    <w:rsid w:val="00DD150F"/>
    <w:rsid w:val="00DE6F70"/>
    <w:rsid w:val="00DF6458"/>
    <w:rsid w:val="00DF7ED3"/>
    <w:rsid w:val="00E0620C"/>
    <w:rsid w:val="00E07579"/>
    <w:rsid w:val="00E11AC3"/>
    <w:rsid w:val="00E201C3"/>
    <w:rsid w:val="00E2022E"/>
    <w:rsid w:val="00E20928"/>
    <w:rsid w:val="00E23F35"/>
    <w:rsid w:val="00E27010"/>
    <w:rsid w:val="00E370F1"/>
    <w:rsid w:val="00E4198F"/>
    <w:rsid w:val="00E51ED5"/>
    <w:rsid w:val="00E53507"/>
    <w:rsid w:val="00E544C8"/>
    <w:rsid w:val="00E54E5D"/>
    <w:rsid w:val="00E559B6"/>
    <w:rsid w:val="00E56BE0"/>
    <w:rsid w:val="00E57452"/>
    <w:rsid w:val="00E63798"/>
    <w:rsid w:val="00E65BA0"/>
    <w:rsid w:val="00E722C6"/>
    <w:rsid w:val="00E8018F"/>
    <w:rsid w:val="00E8337A"/>
    <w:rsid w:val="00E83867"/>
    <w:rsid w:val="00E91491"/>
    <w:rsid w:val="00E92670"/>
    <w:rsid w:val="00E968DD"/>
    <w:rsid w:val="00EA1B93"/>
    <w:rsid w:val="00EA5F8C"/>
    <w:rsid w:val="00EA6404"/>
    <w:rsid w:val="00EB204B"/>
    <w:rsid w:val="00EB6545"/>
    <w:rsid w:val="00EC056C"/>
    <w:rsid w:val="00EC73BC"/>
    <w:rsid w:val="00ED17FD"/>
    <w:rsid w:val="00ED615E"/>
    <w:rsid w:val="00EE1182"/>
    <w:rsid w:val="00EE64B2"/>
    <w:rsid w:val="00EF7F7C"/>
    <w:rsid w:val="00F01626"/>
    <w:rsid w:val="00F03D9B"/>
    <w:rsid w:val="00F05653"/>
    <w:rsid w:val="00F07B38"/>
    <w:rsid w:val="00F147BD"/>
    <w:rsid w:val="00F54D77"/>
    <w:rsid w:val="00F557BE"/>
    <w:rsid w:val="00F62874"/>
    <w:rsid w:val="00F6321C"/>
    <w:rsid w:val="00F66428"/>
    <w:rsid w:val="00F667EF"/>
    <w:rsid w:val="00F72768"/>
    <w:rsid w:val="00F73573"/>
    <w:rsid w:val="00F747A5"/>
    <w:rsid w:val="00F747C5"/>
    <w:rsid w:val="00F84227"/>
    <w:rsid w:val="00F84BCB"/>
    <w:rsid w:val="00F92CBB"/>
    <w:rsid w:val="00FA6D77"/>
    <w:rsid w:val="00FC1A5A"/>
    <w:rsid w:val="00FC5FA2"/>
    <w:rsid w:val="00FD0F87"/>
    <w:rsid w:val="00FD599C"/>
    <w:rsid w:val="00FE4472"/>
    <w:rsid w:val="00FF2563"/>
    <w:rsid w:val="00FF47CA"/>
    <w:rsid w:val="00FF56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3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paragraph" w:styleId="Caption">
    <w:name w:val="caption"/>
    <w:basedOn w:val="Normal"/>
    <w:next w:val="Normal"/>
    <w:uiPriority w:val="35"/>
    <w:unhideWhenUsed/>
    <w:qFormat/>
    <w:rsid w:val="00F54D77"/>
    <w:pPr>
      <w:spacing w:after="200"/>
      <w:jc w:val="left"/>
    </w:pPr>
    <w:rPr>
      <w:rFonts w:asciiTheme="minorHAnsi" w:eastAsiaTheme="minorHAnsi" w:hAnsiTheme="minorHAnsi" w:cstheme="minorBidi"/>
      <w:i/>
      <w:iCs/>
      <w:color w:val="1F497D" w:themeColor="text2"/>
      <w:sz w:val="18"/>
      <w:szCs w:val="18"/>
      <w:lang w:val="en-ID"/>
    </w:rPr>
  </w:style>
  <w:style w:type="paragraph" w:styleId="NoSpacing">
    <w:name w:val="No Spacing"/>
    <w:uiPriority w:val="1"/>
    <w:qFormat/>
    <w:rsid w:val="00004719"/>
    <w:pPr>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321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wadi@borobudur.ac.id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sa/4.0/?ref=chooser-v1"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DE2C-B263-4632-B4B5-E11FA4DF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9448</Words>
  <Characters>53856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Fitria</dc:creator>
  <cp:lastModifiedBy>fitri ayu</cp:lastModifiedBy>
  <cp:revision>3</cp:revision>
  <dcterms:created xsi:type="dcterms:W3CDTF">2024-11-20T08:23:00Z</dcterms:created>
  <dcterms:modified xsi:type="dcterms:W3CDTF">2024-11-27T12:16:00Z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7850337b-5d84-33a9-beef-aae67ee29eca</vt:lpwstr>
  </property>
  <property fmtid="{D5CDD505-2E9C-101B-9397-08002B2CF9AE}" pid="25" name="Mendeley Citation Style_1">
    <vt:lpwstr>http://www.zotero.org/styles/apa</vt:lpwstr>
  </property>
</Properties>
</file>