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487C" w14:textId="5766BBF2" w:rsidR="009E322F" w:rsidRDefault="003B45FA" w:rsidP="009E322F">
      <w:pPr>
        <w:pStyle w:val="Afiliasi"/>
        <w:spacing w:before="0" w:after="0"/>
        <w:rPr>
          <w:rFonts w:eastAsia="MS Mincho"/>
          <w:b/>
          <w:sz w:val="28"/>
          <w:szCs w:val="28"/>
          <w:lang w:val="en-US"/>
        </w:rPr>
      </w:pPr>
      <w:r w:rsidRPr="003B45FA">
        <w:rPr>
          <w:rFonts w:eastAsia="MS Mincho"/>
          <w:b/>
          <w:sz w:val="28"/>
          <w:szCs w:val="28"/>
        </w:rPr>
        <w:t>LEGAL ACCOUNTABILITY OF DOCTORS IN CONDUCTING VIRTUAL HEALTH SERVICES (TELEMEDICINE)</w:t>
      </w:r>
    </w:p>
    <w:p w14:paraId="7873EEA7" w14:textId="77777777" w:rsidR="00A90865" w:rsidRDefault="00A90865" w:rsidP="009E322F">
      <w:pPr>
        <w:pStyle w:val="Afiliasi"/>
        <w:spacing w:before="0" w:after="0"/>
        <w:rPr>
          <w:rFonts w:eastAsia="Times New Roman"/>
          <w:b/>
          <w:sz w:val="24"/>
          <w:szCs w:val="24"/>
          <w:lang w:val="en-US"/>
        </w:rPr>
      </w:pPr>
    </w:p>
    <w:p w14:paraId="0B524F16" w14:textId="77777777" w:rsidR="005D5454" w:rsidRPr="00362D6D" w:rsidRDefault="005D5454" w:rsidP="005D5454">
      <w:pPr>
        <w:pStyle w:val="Afiliasi"/>
        <w:rPr>
          <w:i/>
          <w:iCs/>
          <w:sz w:val="24"/>
          <w:szCs w:val="24"/>
          <w:vertAlign w:val="superscript"/>
        </w:rPr>
      </w:pPr>
      <w:r>
        <w:rPr>
          <w:rFonts w:eastAsia="Times New Roman"/>
          <w:b/>
          <w:sz w:val="24"/>
          <w:szCs w:val="24"/>
          <w:lang w:val="en-US"/>
        </w:rPr>
        <w:t>Olivia Julita, Erikson Sihotang, Ni Ketut Wiratny</w:t>
      </w:r>
    </w:p>
    <w:p w14:paraId="6FB0BF94" w14:textId="77777777" w:rsidR="005D5454" w:rsidRPr="00AF1EDC" w:rsidRDefault="005D5454" w:rsidP="005D5454">
      <w:pPr>
        <w:pStyle w:val="Afiliasi"/>
        <w:spacing w:before="0" w:after="0"/>
        <w:rPr>
          <w:rFonts w:eastAsia="Times New Roman"/>
          <w:i/>
          <w:lang w:val="en-US"/>
        </w:rPr>
      </w:pPr>
      <w:r>
        <w:rPr>
          <w:rFonts w:eastAsia="Times New Roman"/>
          <w:i/>
          <w:lang w:val="en-US"/>
        </w:rPr>
        <w:t>Universitas Mahendradatta, Indonesia</w:t>
      </w:r>
    </w:p>
    <w:p w14:paraId="2E4BC286" w14:textId="6AB280A2" w:rsidR="009E322F" w:rsidRDefault="005D5454" w:rsidP="005D5454">
      <w:pPr>
        <w:rPr>
          <w:i/>
          <w:iCs/>
        </w:rPr>
      </w:pPr>
      <w:r w:rsidRPr="003B45FA">
        <w:rPr>
          <w:i/>
          <w:iCs/>
        </w:rPr>
        <w:t>olivia.julita@yahoo.com</w:t>
      </w:r>
      <w:r>
        <w:rPr>
          <w:i/>
          <w:iCs/>
        </w:rPr>
        <w:t xml:space="preserve">, </w:t>
      </w:r>
      <w:r w:rsidRPr="00B95210">
        <w:rPr>
          <w:i/>
          <w:iCs/>
        </w:rPr>
        <w:t>eriksonsihotang1@gmail.com</w:t>
      </w:r>
      <w:r>
        <w:rPr>
          <w:i/>
          <w:iCs/>
        </w:rPr>
        <w:t xml:space="preserve">, </w:t>
      </w:r>
      <w:r w:rsidRPr="00B95210">
        <w:rPr>
          <w:i/>
          <w:iCs/>
        </w:rPr>
        <w:t>wiratny@gmail.com</w:t>
      </w:r>
    </w:p>
    <w:p w14:paraId="2B72666C" w14:textId="77777777" w:rsidR="009E322F" w:rsidRDefault="009E322F" w:rsidP="009E322F">
      <w:pPr>
        <w:jc w:val="both"/>
        <w:rPr>
          <w:i/>
          <w:iCs/>
        </w:rPr>
      </w:pPr>
    </w:p>
    <w:tbl>
      <w:tblPr>
        <w:tblStyle w:val="TableGrid"/>
        <w:tblW w:w="8926" w:type="dxa"/>
        <w:tblLook w:val="04A0" w:firstRow="1" w:lastRow="0" w:firstColumn="1" w:lastColumn="0" w:noHBand="0" w:noVBand="1"/>
      </w:tblPr>
      <w:tblGrid>
        <w:gridCol w:w="8926"/>
      </w:tblGrid>
      <w:tr w:rsidR="009E322F" w14:paraId="6E5A395C" w14:textId="77777777" w:rsidTr="00044C6D">
        <w:trPr>
          <w:trHeight w:val="310"/>
        </w:trPr>
        <w:tc>
          <w:tcPr>
            <w:tcW w:w="8926" w:type="dxa"/>
          </w:tcPr>
          <w:p w14:paraId="5ED00B9C" w14:textId="77777777" w:rsidR="009E322F" w:rsidRPr="00705C62" w:rsidRDefault="009E322F" w:rsidP="00044C6D">
            <w:pPr>
              <w:pStyle w:val="StyleAuthorBold"/>
              <w:spacing w:before="0" w:after="0"/>
              <w:rPr>
                <w:i/>
                <w:iCs/>
                <w:sz w:val="24"/>
                <w:szCs w:val="24"/>
              </w:rPr>
            </w:pPr>
            <w:r w:rsidRPr="007A4337">
              <w:rPr>
                <w:color w:val="4472C4" w:themeColor="accent1"/>
                <w:sz w:val="24"/>
                <w:szCs w:val="24"/>
              </w:rPr>
              <w:t>ABSTRACT</w:t>
            </w:r>
          </w:p>
        </w:tc>
      </w:tr>
      <w:tr w:rsidR="009E322F" w14:paraId="325197F3" w14:textId="77777777" w:rsidTr="00044C6D">
        <w:trPr>
          <w:trHeight w:val="1317"/>
        </w:trPr>
        <w:tc>
          <w:tcPr>
            <w:tcW w:w="8926" w:type="dxa"/>
          </w:tcPr>
          <w:p w14:paraId="16576886" w14:textId="58D6D246" w:rsidR="009E322F" w:rsidRPr="003B45FA" w:rsidRDefault="003B45FA" w:rsidP="0053748F">
            <w:pPr>
              <w:jc w:val="both"/>
            </w:pPr>
            <w:r w:rsidRPr="00AC4795">
              <w:rPr>
                <w:iCs/>
                <w:color w:val="000000" w:themeColor="text1"/>
              </w:rPr>
              <w:t>The regulations or legal basis for telemedicine regulations in Indonesia are contained in Law Number 17 of 2023 concerning Health and Minister of Health Regulation Number 20 of 2019 concerning the Implementation of Telemedicine Services Between Health Service Facilities and Minister of Health Decree Number 489 of 2021 concerning Telemedicine During the Covid-19 Pandemic .  The legal responsibilities of doctors in providing virtual health services (Telemedicine) are civil, criminal and administrative legal responsibilities, while professional responsibilities will be followed up in accordance with the procedures in the medical code of ethics.</w:t>
            </w:r>
            <w:r w:rsidR="00AC4795" w:rsidRPr="00AC4795">
              <w:rPr>
                <w:i/>
                <w:color w:val="000000" w:themeColor="text1"/>
              </w:rPr>
              <w:t xml:space="preserve"> </w:t>
            </w:r>
            <w:r w:rsidR="00AC4795" w:rsidRPr="00AC4795">
              <w:rPr>
                <w:color w:val="000000" w:themeColor="text1"/>
              </w:rPr>
              <w:t xml:space="preserve">The research method used in this study is a normative research method using various types of primary legal materials in the form of laws and regulations and secondary legal materials in the form of literature materials related to the legal accountability of doctors as a source of research materials. </w:t>
            </w:r>
            <w:r w:rsidR="00AC4795" w:rsidRPr="00AC4795">
              <w:rPr>
                <w:bCs/>
                <w:color w:val="000000" w:themeColor="text1"/>
              </w:rPr>
              <w:t>The regulation or legal basis for telemedicine regulations in Indonesia is contained in Law Number 17 of 2023 concerning Health and Regulation of the Minister of Health Number 20 of 2019 concerning the Implementation of Telemedicine Services Between Health Service Facilities and Ministry of Health Number 489 of 2021 concerning Telemedicine.</w:t>
            </w:r>
          </w:p>
        </w:tc>
      </w:tr>
      <w:tr w:rsidR="009E322F" w14:paraId="125CE18C" w14:textId="77777777" w:rsidTr="00044C6D">
        <w:trPr>
          <w:trHeight w:val="478"/>
        </w:trPr>
        <w:tc>
          <w:tcPr>
            <w:tcW w:w="8926" w:type="dxa"/>
          </w:tcPr>
          <w:p w14:paraId="7F3F12C0" w14:textId="593A8067" w:rsidR="009E322F" w:rsidRPr="00B95210" w:rsidRDefault="009E322F" w:rsidP="00B95210">
            <w:pPr>
              <w:pStyle w:val="HTMLPreformatted"/>
              <w:jc w:val="both"/>
              <w:rPr>
                <w:rFonts w:ascii="Times New Roman" w:hAnsi="Times New Roman" w:cs="Times New Roman"/>
                <w:b/>
              </w:rPr>
            </w:pPr>
            <w:r w:rsidRPr="00AF1EDC">
              <w:rPr>
                <w:b/>
                <w:i/>
                <w:iCs/>
              </w:rPr>
              <w:t xml:space="preserve">Keywords: </w:t>
            </w:r>
            <w:r w:rsidR="003B45FA" w:rsidRPr="003B45FA">
              <w:rPr>
                <w:rFonts w:ascii="Times New Roman" w:hAnsi="Times New Roman" w:cs="Times New Roman"/>
                <w:i/>
                <w:color w:val="212121"/>
              </w:rPr>
              <w:t xml:space="preserve">Regulation, Accountability, Health Services, Telemedicine  </w:t>
            </w:r>
          </w:p>
          <w:p w14:paraId="31BF48E9" w14:textId="77777777" w:rsidR="009E322F" w:rsidRPr="00751F00" w:rsidRDefault="009E322F" w:rsidP="00044C6D">
            <w:pPr>
              <w:rPr>
                <w:rFonts w:eastAsia="Times New Roman"/>
              </w:rPr>
            </w:pPr>
          </w:p>
        </w:tc>
      </w:tr>
    </w:tbl>
    <w:p w14:paraId="1045759B" w14:textId="77777777" w:rsidR="009E322F" w:rsidRPr="00976890" w:rsidRDefault="009E322F" w:rsidP="009E322F">
      <w:pPr>
        <w:pStyle w:val="abstrak"/>
        <w:spacing w:before="120"/>
        <w:ind w:left="0" w:right="98"/>
        <w:jc w:val="center"/>
        <w:rPr>
          <w:i/>
          <w:iCs/>
          <w:color w:val="4472C4" w:themeColor="accent1"/>
          <w:szCs w:val="20"/>
        </w:rPr>
      </w:pPr>
      <w:r>
        <w:t xml:space="preserve">This article </w:t>
      </w:r>
      <w:r w:rsidRPr="00976890">
        <w:rPr>
          <w:shd w:val="clear" w:color="auto" w:fill="FFFFFF"/>
        </w:rPr>
        <w:t>is licensed under </w:t>
      </w:r>
      <w:hyperlink r:id="rId8" w:tgtFrame="_blank" w:history="1">
        <w:r w:rsidRPr="00976890">
          <w:rPr>
            <w:rStyle w:val="Hyperlink"/>
            <w:color w:val="4472C4" w:themeColor="accent1"/>
            <w:shd w:val="clear" w:color="auto" w:fill="FFFFFF"/>
          </w:rPr>
          <w:t>CC BY-SA 4.0 </w:t>
        </w:r>
        <w:r w:rsidRPr="00976890">
          <w:rPr>
            <w:noProof/>
            <w:color w:val="4472C4" w:themeColor="accent1"/>
          </w:rPr>
          <w:drawing>
            <wp:inline distT="0" distB="0" distL="0" distR="0" wp14:anchorId="579C3615" wp14:editId="1ED3BA9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BAB03F5" wp14:editId="2AC3AF90">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Pr="00976890">
          <w:rPr>
            <w:noProof/>
            <w:color w:val="4472C4" w:themeColor="accent1"/>
          </w:rPr>
          <w:drawing>
            <wp:inline distT="0" distB="0" distL="0" distR="0" wp14:anchorId="3032EDD2" wp14:editId="2CDA6835">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3BD6232" w14:textId="77777777" w:rsidR="009E322F" w:rsidRPr="0016402F" w:rsidRDefault="009E322F" w:rsidP="009E322F">
      <w:pPr>
        <w:tabs>
          <w:tab w:val="left" w:pos="1470"/>
        </w:tabs>
        <w:ind w:right="569" w:firstLine="3969"/>
        <w:jc w:val="both"/>
        <w:rPr>
          <w:color w:val="4472C4" w:themeColor="accent1"/>
          <w:sz w:val="24"/>
          <w:szCs w:val="24"/>
        </w:rPr>
      </w:pPr>
    </w:p>
    <w:p w14:paraId="236CFC6C" w14:textId="77777777" w:rsidR="009E322F" w:rsidRPr="008D45F9" w:rsidRDefault="009E322F" w:rsidP="0053748F">
      <w:pPr>
        <w:tabs>
          <w:tab w:val="left" w:pos="1470"/>
        </w:tabs>
        <w:jc w:val="both"/>
        <w:rPr>
          <w:sz w:val="24"/>
          <w:szCs w:val="24"/>
        </w:rPr>
        <w:sectPr w:rsidR="009E322F" w:rsidRPr="008D45F9" w:rsidSect="009E322F">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809" w:gutter="0"/>
          <w:cols w:space="720"/>
          <w:titlePg/>
          <w:docGrid w:linePitch="360"/>
        </w:sectPr>
      </w:pPr>
    </w:p>
    <w:p w14:paraId="271C7010" w14:textId="77777777" w:rsidR="009E322F" w:rsidRDefault="009E322F" w:rsidP="009E322F">
      <w:pPr>
        <w:pStyle w:val="BodyText"/>
        <w:spacing w:line="276" w:lineRule="auto"/>
        <w:ind w:right="98" w:firstLine="0"/>
        <w:rPr>
          <w:b/>
          <w:sz w:val="24"/>
          <w:szCs w:val="24"/>
        </w:rPr>
      </w:pPr>
    </w:p>
    <w:p w14:paraId="0903CB77" w14:textId="77777777" w:rsidR="009E322F" w:rsidRDefault="009E322F" w:rsidP="009E322F">
      <w:pPr>
        <w:pStyle w:val="BodyText"/>
        <w:spacing w:line="276" w:lineRule="auto"/>
        <w:ind w:right="98" w:firstLine="0"/>
        <w:rPr>
          <w:b/>
          <w:sz w:val="24"/>
          <w:szCs w:val="24"/>
        </w:rPr>
      </w:pPr>
      <w:r w:rsidRPr="00AF1EDC">
        <w:rPr>
          <w:b/>
          <w:sz w:val="24"/>
          <w:szCs w:val="24"/>
        </w:rPr>
        <w:t>INTRODUCTION</w:t>
      </w:r>
    </w:p>
    <w:p w14:paraId="00E68F8F" w14:textId="312C5875" w:rsidR="009E322F" w:rsidRDefault="003B45FA" w:rsidP="003B45FA">
      <w:pPr>
        <w:spacing w:line="276" w:lineRule="auto"/>
        <w:ind w:right="98" w:firstLine="567"/>
        <w:jc w:val="both"/>
        <w:rPr>
          <w:spacing w:val="1"/>
          <w:sz w:val="24"/>
          <w:szCs w:val="24"/>
        </w:rPr>
      </w:pPr>
      <w:r w:rsidRPr="003B45FA">
        <w:rPr>
          <w:spacing w:val="1"/>
          <w:sz w:val="24"/>
          <w:szCs w:val="24"/>
        </w:rPr>
        <w:t>According to the World Health Organization, the meaning of Telemedicine is "healing from a distance", by utilizing modern information and communication technology so that it can improve the patient's recovery period by developing access to services and information as well as the meaning of Telemedicine Regulations or the legal basis of telemedicine regulations in Indonesia are contained in Law Number 17 of 2023 concerning Health (hereinafter referred to as the "Health Law") and Regulations Minister of Health Number 20 of 2019 concerning the Implementation of Telemedicine Services Between Health Service Facilities. The latest Medical Council Regulation No. 74 of 2020 and the latest Regulation of the Minister of Health have stipulated that doctors who practice telemedicine must have a Registration Certificate (STR) and a Practice License (SIP).</w:t>
      </w:r>
    </w:p>
    <w:p w14:paraId="744B63BF" w14:textId="2BB1D846" w:rsidR="003B45FA" w:rsidRDefault="003B45FA" w:rsidP="003B45FA">
      <w:pPr>
        <w:spacing w:line="276" w:lineRule="auto"/>
        <w:ind w:right="98" w:firstLine="567"/>
        <w:jc w:val="both"/>
        <w:rPr>
          <w:spacing w:val="1"/>
          <w:sz w:val="24"/>
          <w:szCs w:val="24"/>
        </w:rPr>
      </w:pPr>
      <w:r w:rsidRPr="003B45FA">
        <w:rPr>
          <w:spacing w:val="1"/>
          <w:sz w:val="24"/>
          <w:szCs w:val="24"/>
        </w:rPr>
        <w:t>By looking at the above background, the problem formulation can be taken, including: first, how to regulate Virtual Health Services (Telemedicine), and how is the legal responsibility of doctors in conducting Virtual Health Services (Telemedicine). This study aims to find out about the arrangement of virtual health services (Telemedicine), and the legal responsibility of doctors in conducting Virtual Health Services (Telemedicine).</w:t>
      </w:r>
    </w:p>
    <w:p w14:paraId="7AD933F6" w14:textId="77777777" w:rsidR="003B45FA" w:rsidRPr="00AF1EDC" w:rsidRDefault="003B45FA" w:rsidP="009E322F">
      <w:pPr>
        <w:spacing w:line="276" w:lineRule="auto"/>
        <w:ind w:right="98"/>
        <w:jc w:val="both"/>
        <w:rPr>
          <w:sz w:val="24"/>
          <w:szCs w:val="24"/>
        </w:rPr>
      </w:pPr>
    </w:p>
    <w:p w14:paraId="281E0E95" w14:textId="77777777" w:rsidR="009E322F" w:rsidRDefault="009E322F" w:rsidP="009E322F">
      <w:pPr>
        <w:pStyle w:val="BodyText"/>
        <w:spacing w:line="276" w:lineRule="auto"/>
        <w:ind w:right="98" w:firstLine="0"/>
        <w:rPr>
          <w:b/>
          <w:sz w:val="24"/>
          <w:szCs w:val="24"/>
        </w:rPr>
      </w:pPr>
      <w:r w:rsidRPr="00AF1EDC">
        <w:rPr>
          <w:b/>
          <w:sz w:val="24"/>
          <w:szCs w:val="24"/>
        </w:rPr>
        <w:t>METHOD</w:t>
      </w:r>
    </w:p>
    <w:p w14:paraId="4EB8DED4" w14:textId="0B310E6A" w:rsidR="00F66949" w:rsidRDefault="003B45FA" w:rsidP="00B95210">
      <w:pPr>
        <w:pStyle w:val="BodyText"/>
        <w:spacing w:line="276" w:lineRule="auto"/>
        <w:ind w:right="98" w:firstLine="567"/>
        <w:rPr>
          <w:sz w:val="24"/>
          <w:szCs w:val="24"/>
        </w:rPr>
      </w:pPr>
      <w:r w:rsidRPr="003B45FA">
        <w:rPr>
          <w:sz w:val="24"/>
          <w:szCs w:val="24"/>
        </w:rPr>
        <w:t xml:space="preserve">The research method used in this study is a normative research method using various types of primary legal materials in the form of laws and regulations and secondary legal materials in the form of literature materials related to the legal accountability of doctors as a source of research materials. Johnny Ibrahim argues that normative legal research is a form of </w:t>
      </w:r>
      <w:r w:rsidRPr="003B45FA">
        <w:rPr>
          <w:sz w:val="24"/>
          <w:szCs w:val="24"/>
        </w:rPr>
        <w:lastRenderedPageBreak/>
        <w:t xml:space="preserve">scientific research aimed at finding the truth based on legal scientific logic reviewed from the normative part, or which is in the form of legal discovery efforts that are adjusted to a particular case </w:t>
      </w:r>
      <w:r w:rsidR="00D1377E">
        <w:rPr>
          <w:sz w:val="24"/>
          <w:szCs w:val="24"/>
        </w:rPr>
        <w:fldChar w:fldCharType="begin" w:fldLock="1"/>
      </w:r>
      <w:r w:rsidR="00D1377E">
        <w:rPr>
          <w:sz w:val="24"/>
          <w:szCs w:val="24"/>
        </w:rPr>
        <w:instrText>ADDIN CSL_CITATION {"citationItems":[{"id":"ITEM-1","itemData":{"author":[{"dropping-particle":"","family":"Ibrahim","given":"Johnny","non-dropping-particle":"","parse-names":false,"suffix":""}],"container-title":"Malang: Bayumedia Publishing","id":"ITEM-1","issue":"11","issued":{"date-parts":[["2006"]]},"title":"Teori dan metodologi penelitian hukum normatif","type":"article-journal","volume":"57"},"uris":["http://www.mendeley.com/documents/?uuid=09a04430-8f8e-4a1d-8d78-df5928bfee3d"]}],"mendeley":{"formattedCitation":"(Ibrahim, 2006)","plainTextFormattedCitation":"(Ibrahim, 2006)","previouslyFormattedCitation":"(Ibrahim, 2006)"},"properties":{"noteIndex":0},"schema":"https://github.com/citation-style-language/schema/raw/master/csl-citation.json"}</w:instrText>
      </w:r>
      <w:r w:rsidR="00D1377E">
        <w:rPr>
          <w:sz w:val="24"/>
          <w:szCs w:val="24"/>
        </w:rPr>
        <w:fldChar w:fldCharType="separate"/>
      </w:r>
      <w:r w:rsidR="00D1377E" w:rsidRPr="00D1377E">
        <w:rPr>
          <w:noProof/>
          <w:sz w:val="24"/>
          <w:szCs w:val="24"/>
        </w:rPr>
        <w:t>(Ibrahim, 2006)</w:t>
      </w:r>
      <w:r w:rsidR="00D1377E">
        <w:rPr>
          <w:sz w:val="24"/>
          <w:szCs w:val="24"/>
        </w:rPr>
        <w:fldChar w:fldCharType="end"/>
      </w:r>
      <w:r w:rsidRPr="003B45FA">
        <w:rPr>
          <w:sz w:val="24"/>
          <w:szCs w:val="24"/>
        </w:rPr>
        <w:t>.</w:t>
      </w:r>
    </w:p>
    <w:p w14:paraId="069204F1" w14:textId="77777777" w:rsidR="00B95210" w:rsidRDefault="00B95210" w:rsidP="006D7D87">
      <w:pPr>
        <w:pStyle w:val="BodyText"/>
        <w:spacing w:line="276" w:lineRule="auto"/>
        <w:ind w:right="98" w:firstLine="0"/>
        <w:rPr>
          <w:sz w:val="24"/>
          <w:szCs w:val="24"/>
        </w:rPr>
      </w:pPr>
    </w:p>
    <w:p w14:paraId="51137A9F" w14:textId="7353FCC0" w:rsidR="00CB50FE" w:rsidRDefault="00CB50FE" w:rsidP="00BF4DA7">
      <w:pPr>
        <w:pStyle w:val="BodyText"/>
        <w:spacing w:line="276" w:lineRule="auto"/>
        <w:ind w:right="96" w:firstLine="0"/>
        <w:rPr>
          <w:b/>
          <w:sz w:val="24"/>
          <w:szCs w:val="24"/>
        </w:rPr>
      </w:pPr>
      <w:r w:rsidRPr="00AF1EDC">
        <w:rPr>
          <w:b/>
          <w:sz w:val="24"/>
          <w:szCs w:val="24"/>
        </w:rPr>
        <w:t>RESULTS AND DISCUSSION</w:t>
      </w:r>
    </w:p>
    <w:p w14:paraId="457DEEAE" w14:textId="49F8DDCA" w:rsidR="003B45FA" w:rsidRPr="003B45FA" w:rsidRDefault="003B45FA" w:rsidP="003B45FA">
      <w:pPr>
        <w:pStyle w:val="BodyText"/>
        <w:numPr>
          <w:ilvl w:val="0"/>
          <w:numId w:val="24"/>
        </w:numPr>
        <w:spacing w:line="276" w:lineRule="auto"/>
        <w:ind w:left="284" w:right="98" w:hanging="284"/>
        <w:rPr>
          <w:b/>
          <w:sz w:val="24"/>
          <w:szCs w:val="24"/>
        </w:rPr>
      </w:pPr>
      <w:r w:rsidRPr="003B45FA">
        <w:rPr>
          <w:b/>
          <w:sz w:val="24"/>
          <w:szCs w:val="24"/>
        </w:rPr>
        <w:t>Virtual Healthcare Settings (Telemedicine)</w:t>
      </w:r>
    </w:p>
    <w:p w14:paraId="3041AE30" w14:textId="72AF40A5" w:rsidR="003B45FA" w:rsidRDefault="003B45FA" w:rsidP="003B45FA">
      <w:pPr>
        <w:pStyle w:val="BodyText"/>
        <w:spacing w:line="276" w:lineRule="auto"/>
        <w:ind w:left="284" w:right="98" w:firstLine="567"/>
        <w:rPr>
          <w:bCs/>
          <w:sz w:val="24"/>
          <w:szCs w:val="24"/>
        </w:rPr>
      </w:pPr>
      <w:r w:rsidRPr="003B45FA">
        <w:rPr>
          <w:bCs/>
          <w:sz w:val="24"/>
          <w:szCs w:val="24"/>
        </w:rPr>
        <w:t xml:space="preserve">The enactment of the Omnibus Law No. 17 of 2023 concerning Health is expected to provide solutions to various problems in the health sector. Such as health services which are still dominated by a curative approach, the availability and distribution of Health Resources (HR), readiness to face health crises, aspects of pharmaceutical independence and medical devices </w:t>
      </w:r>
      <w:r w:rsidR="00D1377E">
        <w:rPr>
          <w:bCs/>
          <w:sz w:val="24"/>
          <w:szCs w:val="24"/>
        </w:rPr>
        <w:fldChar w:fldCharType="begin" w:fldLock="1"/>
      </w:r>
      <w:r w:rsidR="00D1377E">
        <w:rPr>
          <w:bCs/>
          <w:sz w:val="24"/>
          <w:szCs w:val="24"/>
        </w:rPr>
        <w:instrText>ADDIN CSL_CITATION {"citationItems":[{"id":"ITEM-1","itemData":{"ISBN":"6232476999","author":[{"dropping-particle":"","family":"Santoso","given":"Aris Prio Agus","non-dropping-particle":"","parse-names":false,"suffix":""},{"dropping-particle":"","family":"Wahyudi","given":"Totok","non-dropping-particle":"","parse-names":false,"suffix":""},{"dropping-particle":"","family":"Rohmah","given":"Safitri Nur","non-dropping-particle":"","parse-names":false,"suffix":""},{"dropping-particle":"","family":"Haryadi","given":"Ary Rachman","non-dropping-particle":"","parse-names":false,"suffix":""}],"id":"ITEM-1","issued":{"date-parts":[["2020"]]},"publisher":"CV Jejak (Jejak Publisher)","title":"Perlindungan Hukum Tenaga Kesehatan dalam Gugus Tugas Percepatan Penanganan Covid-19 Ditinjau dari Sudut Pandang Hukum Administrasi Negara","type":"book"},"uris":["http://www.mendeley.com/documents/?uuid=dbde0e31-0d91-470f-aae3-bd81fc13bb9d"]}],"mendeley":{"formattedCitation":"(Santoso et al., 2020)","plainTextFormattedCitation":"(Santoso et al., 2020)","previouslyFormattedCitation":"(Santoso et al., 2020)"},"properties":{"noteIndex":0},"schema":"https://github.com/citation-style-language/schema/raw/master/csl-citation.json"}</w:instrText>
      </w:r>
      <w:r w:rsidR="00D1377E">
        <w:rPr>
          <w:bCs/>
          <w:sz w:val="24"/>
          <w:szCs w:val="24"/>
        </w:rPr>
        <w:fldChar w:fldCharType="separate"/>
      </w:r>
      <w:r w:rsidR="00D1377E" w:rsidRPr="00D1377E">
        <w:rPr>
          <w:bCs/>
          <w:noProof/>
          <w:sz w:val="24"/>
          <w:szCs w:val="24"/>
        </w:rPr>
        <w:t>(Santoso et al., 2020)</w:t>
      </w:r>
      <w:r w:rsidR="00D1377E">
        <w:rPr>
          <w:bCs/>
          <w:sz w:val="24"/>
          <w:szCs w:val="24"/>
        </w:rPr>
        <w:fldChar w:fldCharType="end"/>
      </w:r>
      <w:r w:rsidRPr="003B45FA">
        <w:rPr>
          <w:bCs/>
          <w:sz w:val="24"/>
          <w:szCs w:val="24"/>
        </w:rPr>
        <w:t xml:space="preserve">. Law Number 17 of 2023 concerning Health is also expected to provide legal protection for health service actors. The legal action received by health workers has not yet seen a form of protection.  So that the regulation in the new Health Law can advance the form of health of the Indonesian people, so that people have a wide opportunity to access quality health services, and can improve the image of the Indonesian nation in the eyes of the international world. </w:t>
      </w:r>
    </w:p>
    <w:p w14:paraId="04D65F94" w14:textId="14DCE6C8" w:rsidR="00D1377E" w:rsidRDefault="003B45FA" w:rsidP="00D1377E">
      <w:pPr>
        <w:pStyle w:val="BodyText"/>
        <w:spacing w:line="276" w:lineRule="auto"/>
        <w:ind w:left="284" w:right="98" w:firstLine="567"/>
        <w:rPr>
          <w:bCs/>
          <w:sz w:val="24"/>
          <w:szCs w:val="24"/>
        </w:rPr>
      </w:pPr>
      <w:r w:rsidRPr="003B45FA">
        <w:rPr>
          <w:bCs/>
          <w:sz w:val="24"/>
          <w:szCs w:val="24"/>
        </w:rPr>
        <w:t xml:space="preserve">Telemedicine is the practice of telemedicine in which actions, diagnostic and treatment decisions, and recommendations are based on data, documents, and other information transmitted through telecommunication systems </w:t>
      </w:r>
      <w:r w:rsidR="00D1377E">
        <w:rPr>
          <w:bCs/>
          <w:sz w:val="24"/>
          <w:szCs w:val="24"/>
        </w:rPr>
        <w:fldChar w:fldCharType="begin" w:fldLock="1"/>
      </w:r>
      <w:r w:rsidR="00D1377E">
        <w:rPr>
          <w:bCs/>
          <w:sz w:val="24"/>
          <w:szCs w:val="24"/>
        </w:rPr>
        <w:instrText>ADDIN CSL_CITATION {"citationItems":[{"id":"ITEM-1","itemData":{"author":[{"dropping-particle":"","family":"Samil","given":"Ratna Suprapti","non-dropping-particle":"","parse-names":false,"suffix":""}],"id":"ITEM-1","issued":{"date-parts":[["2001"]]},"publisher":"Yayasan Bina Pustaka Sarwono Prawirohardjo","title":"Etika Kedokteran Indonesia","type":"article-journal"},"uris":["http://www.mendeley.com/documents/?uuid=b45c92ae-35d7-4164-b538-11f1175d95c2"]}],"mendeley":{"formattedCitation":"(Samil, 2001)","plainTextFormattedCitation":"(Samil, 2001)","previouslyFormattedCitation":"(Samil, 2001)"},"properties":{"noteIndex":0},"schema":"https://github.com/citation-style-language/schema/raw/master/csl-citation.json"}</w:instrText>
      </w:r>
      <w:r w:rsidR="00D1377E">
        <w:rPr>
          <w:bCs/>
          <w:sz w:val="24"/>
          <w:szCs w:val="24"/>
        </w:rPr>
        <w:fldChar w:fldCharType="separate"/>
      </w:r>
      <w:r w:rsidR="00D1377E" w:rsidRPr="00D1377E">
        <w:rPr>
          <w:bCs/>
          <w:noProof/>
          <w:sz w:val="24"/>
          <w:szCs w:val="24"/>
        </w:rPr>
        <w:t>(Samil, 2001)</w:t>
      </w:r>
      <w:r w:rsidR="00D1377E">
        <w:rPr>
          <w:bCs/>
          <w:sz w:val="24"/>
          <w:szCs w:val="24"/>
        </w:rPr>
        <w:fldChar w:fldCharType="end"/>
      </w:r>
      <w:r w:rsidRPr="003B45FA">
        <w:rPr>
          <w:bCs/>
          <w:sz w:val="24"/>
          <w:szCs w:val="24"/>
        </w:rPr>
        <w:t>.   Telemedicine promises many conveniences and opportunities that can be used as a solution to overcome health problems, but without realizing it, telemedicine brings the potential for legal problems in medical practice. The scope of telemedicine is quite broad and includes the remote use of health services (including educational services, clinical services and administrative services), through data transmission (voice, two-way interactive video calls, computers, and tries) together with doctors, patients, and other parties.</w:t>
      </w:r>
    </w:p>
    <w:p w14:paraId="50377E45" w14:textId="3D23CAAE" w:rsidR="00D1377E" w:rsidRDefault="003B45FA" w:rsidP="00D1377E">
      <w:pPr>
        <w:pStyle w:val="BodyText"/>
        <w:spacing w:line="276" w:lineRule="auto"/>
        <w:ind w:left="284" w:right="98" w:firstLine="567"/>
        <w:rPr>
          <w:bCs/>
          <w:sz w:val="24"/>
          <w:szCs w:val="24"/>
        </w:rPr>
      </w:pPr>
      <w:r w:rsidRPr="003B45FA">
        <w:rPr>
          <w:bCs/>
          <w:sz w:val="24"/>
          <w:szCs w:val="24"/>
        </w:rPr>
        <w:t>The applicable laws and regulations must be adjusted to the reality that exists in society today in accordance with technological advances and community developments. Especially public services that are based on Information Technology (IT).  Online services are related to public services today as a breakthrough in maximum service efficiency in terms of time and distance, but online services that are relatively simple and sophisticated cannot be accepted by all citizens, especially in remote areas.</w:t>
      </w:r>
    </w:p>
    <w:p w14:paraId="3A2DADA6" w14:textId="77777777" w:rsidR="00D1377E" w:rsidRDefault="003B45FA" w:rsidP="00D1377E">
      <w:pPr>
        <w:pStyle w:val="BodyText"/>
        <w:spacing w:line="276" w:lineRule="auto"/>
        <w:ind w:left="284" w:right="98" w:firstLine="567"/>
        <w:rPr>
          <w:bCs/>
          <w:sz w:val="24"/>
          <w:szCs w:val="24"/>
        </w:rPr>
      </w:pPr>
      <w:r w:rsidRPr="003B45FA">
        <w:rPr>
          <w:bCs/>
          <w:sz w:val="24"/>
          <w:szCs w:val="24"/>
        </w:rPr>
        <w:t xml:space="preserve">Law No. 13 of 2022 The second amendment to Law No. 12 of 2011 concerning the Establishment of Laws and Regulations includes the 1945 Constitution, the Decree of the People's Consultative Assembly. </w:t>
      </w:r>
      <w:proofErr w:type="spellStart"/>
      <w:r w:rsidRPr="003B45FA">
        <w:rPr>
          <w:bCs/>
          <w:sz w:val="24"/>
          <w:szCs w:val="24"/>
        </w:rPr>
        <w:t>Perpu</w:t>
      </w:r>
      <w:proofErr w:type="spellEnd"/>
      <w:r w:rsidRPr="003B45FA">
        <w:rPr>
          <w:bCs/>
          <w:sz w:val="24"/>
          <w:szCs w:val="24"/>
        </w:rPr>
        <w:t>/Law, Government Regulation/</w:t>
      </w:r>
      <w:proofErr w:type="spellStart"/>
      <w:r w:rsidRPr="003B45FA">
        <w:rPr>
          <w:bCs/>
          <w:sz w:val="24"/>
          <w:szCs w:val="24"/>
        </w:rPr>
        <w:t>Perpu</w:t>
      </w:r>
      <w:proofErr w:type="spellEnd"/>
      <w:r w:rsidRPr="003B45FA">
        <w:rPr>
          <w:bCs/>
          <w:sz w:val="24"/>
          <w:szCs w:val="24"/>
        </w:rPr>
        <w:t xml:space="preserve">, Presidential Regulation and Regional Regulation (Article 7 paragraph 1) and various other types of laws and regulations as long as ordered by a higher law or regulation (Article 7 paragraph 4). Specifically, the laws and regulations in the health sector are Law No. 36 of 2009 concerning Health, Law No. 44 of 2009 concerning Hospitals, Law No. 29 of 2004 concerning Medical Practice. In the form of Government Regulations, including Government Regulation No. 32 of 1996 concerning Health Workers, Government Regulation No. 51 of 2009 concerning Pharmaceutical Personnel,. The Health Law is the main foundation and legal umbrella for every health service provider. Therefore, everyone engaged in health services knows and understands what is regulated in the law. </w:t>
      </w:r>
    </w:p>
    <w:p w14:paraId="6765776E" w14:textId="77777777" w:rsidR="00D1377E" w:rsidRDefault="003B45FA" w:rsidP="00D1377E">
      <w:pPr>
        <w:pStyle w:val="BodyText"/>
        <w:spacing w:line="276" w:lineRule="auto"/>
        <w:ind w:left="284" w:right="98" w:firstLine="567"/>
        <w:rPr>
          <w:bCs/>
          <w:sz w:val="24"/>
          <w:szCs w:val="24"/>
        </w:rPr>
      </w:pPr>
      <w:r w:rsidRPr="003B45FA">
        <w:rPr>
          <w:bCs/>
          <w:sz w:val="24"/>
          <w:szCs w:val="24"/>
        </w:rPr>
        <w:lastRenderedPageBreak/>
        <w:t xml:space="preserve">The regulation or legal basis for telemedicine regulations in Indonesia is contained in Law Number 17 of 2023 concerning Health which is hereinafter referred to as the "Health Law" and Regulation of the Minister of Health Number 20 of 2019 concerning the Implementation of Telemedicine Services Between Health Service Facilities and Ministry of Health Number 489 of 2021 concerning Telemedicine During the Covid-19 Pandemic Through the Regulation of the Indonesian Medical Council Number 74 of 2020 concerning Clinical Authority and Medical Practice Through Telemedicine during the Corona Virus Disease 2019 (covid-19) Pandemic in Indonesia, hereinafter referred to as </w:t>
      </w:r>
      <w:proofErr w:type="spellStart"/>
      <w:r w:rsidRPr="003B45FA">
        <w:rPr>
          <w:bCs/>
          <w:sz w:val="24"/>
          <w:szCs w:val="24"/>
        </w:rPr>
        <w:t>Peratura</w:t>
      </w:r>
      <w:proofErr w:type="spellEnd"/>
      <w:r w:rsidRPr="003B45FA">
        <w:rPr>
          <w:bCs/>
          <w:sz w:val="24"/>
          <w:szCs w:val="24"/>
        </w:rPr>
        <w:t xml:space="preserve"> of the Indonesian Medical Council (KKI) No. 74 </w:t>
      </w:r>
      <w:proofErr w:type="spellStart"/>
      <w:r w:rsidRPr="003B45FA">
        <w:rPr>
          <w:bCs/>
          <w:sz w:val="24"/>
          <w:szCs w:val="24"/>
        </w:rPr>
        <w:t>Tahu</w:t>
      </w:r>
      <w:proofErr w:type="spellEnd"/>
      <w:r w:rsidRPr="003B45FA">
        <w:rPr>
          <w:bCs/>
          <w:sz w:val="24"/>
          <w:szCs w:val="24"/>
        </w:rPr>
        <w:t xml:space="preserve"> 2020.</w:t>
      </w:r>
    </w:p>
    <w:p w14:paraId="1174E456" w14:textId="088EBFEC" w:rsidR="003B45FA" w:rsidRPr="003B45FA" w:rsidRDefault="003B45FA" w:rsidP="00D1377E">
      <w:pPr>
        <w:pStyle w:val="BodyText"/>
        <w:spacing w:line="276" w:lineRule="auto"/>
        <w:ind w:left="284" w:right="98" w:firstLine="567"/>
        <w:rPr>
          <w:bCs/>
          <w:sz w:val="24"/>
          <w:szCs w:val="24"/>
        </w:rPr>
      </w:pPr>
      <w:proofErr w:type="spellStart"/>
      <w:r w:rsidRPr="003B45FA">
        <w:rPr>
          <w:bCs/>
          <w:sz w:val="24"/>
          <w:szCs w:val="24"/>
        </w:rPr>
        <w:t>Permenkes</w:t>
      </w:r>
      <w:proofErr w:type="spellEnd"/>
      <w:r w:rsidRPr="003B45FA">
        <w:rPr>
          <w:bCs/>
          <w:sz w:val="24"/>
          <w:szCs w:val="24"/>
        </w:rPr>
        <w:t xml:space="preserve"> 20 of 2019 concerning the Implementation of Telemedicine Services Between Health Service Facilities in Article 1 number 1 defines the terminology of Telemedicine as; Telemedicine is the provision of telehealth services by health professionals using information and communication technology, including the exchange of information on diagnosis, treatment, prevention of diseases and injuries, research and evaluation, and continuous education of health care providers for the benefit of improving the health of individuals and communities.</w:t>
      </w:r>
    </w:p>
    <w:p w14:paraId="4C6876A2" w14:textId="3A80A66C" w:rsidR="003B45FA" w:rsidRPr="00D1377E" w:rsidRDefault="003B45FA" w:rsidP="00D1377E">
      <w:pPr>
        <w:pStyle w:val="BodyText"/>
        <w:numPr>
          <w:ilvl w:val="0"/>
          <w:numId w:val="24"/>
        </w:numPr>
        <w:spacing w:line="276" w:lineRule="auto"/>
        <w:ind w:left="284" w:right="98" w:hanging="284"/>
        <w:rPr>
          <w:b/>
          <w:sz w:val="24"/>
          <w:szCs w:val="24"/>
        </w:rPr>
      </w:pPr>
      <w:r w:rsidRPr="00D1377E">
        <w:rPr>
          <w:b/>
          <w:sz w:val="24"/>
          <w:szCs w:val="24"/>
        </w:rPr>
        <w:t>Legal Responsibility of Doctors in Conducting Virtual Health Services (Telemedicine)</w:t>
      </w:r>
    </w:p>
    <w:p w14:paraId="25C10B63" w14:textId="5255FD10" w:rsidR="00D1377E" w:rsidRDefault="003B45FA" w:rsidP="00D1377E">
      <w:pPr>
        <w:pStyle w:val="BodyText"/>
        <w:spacing w:line="276" w:lineRule="auto"/>
        <w:ind w:left="284" w:right="98" w:firstLine="567"/>
        <w:rPr>
          <w:bCs/>
          <w:sz w:val="24"/>
          <w:szCs w:val="24"/>
        </w:rPr>
      </w:pPr>
      <w:r w:rsidRPr="003B45FA">
        <w:rPr>
          <w:bCs/>
          <w:sz w:val="24"/>
          <w:szCs w:val="24"/>
        </w:rPr>
        <w:t xml:space="preserve">Development policies in the health sector, which were originally in the form of efforts to cure patients, gradually developed towards the unity of public health development efforts with comprehensive, integrated and sustainable community participation which includes improvement efforts (promotive), preventive efforts (preventive), curative (curative) and recovery efforts (rehabilitative).  Efforts to develop health that are comprehensive, integrated and sustainable are to improve the degree of public health based on the principles of non-discrimination, participation, protection and sustainability </w:t>
      </w:r>
      <w:r w:rsidR="00D1377E">
        <w:rPr>
          <w:bCs/>
          <w:sz w:val="24"/>
          <w:szCs w:val="24"/>
        </w:rPr>
        <w:fldChar w:fldCharType="begin" w:fldLock="1"/>
      </w:r>
      <w:r w:rsidR="00D1377E">
        <w:rPr>
          <w:bCs/>
          <w:sz w:val="24"/>
          <w:szCs w:val="24"/>
        </w:rPr>
        <w:instrText>ADDIN CSL_CITATION {"citationItems":[{"id":"ITEM-1","itemData":{"ISBN":"9795189298","author":[{"dropping-particle":"","family":"Nasution","given":"Bahder Johan","non-dropping-particle":"","parse-names":false,"suffix":""}],"id":"ITEM-1","issued":{"date-parts":[["2005"]]},"publisher":"Rineka Cipta","title":"Hukum Kesehatan: Pertanggungjawaban Dokter","type":"book"},"uris":["http://www.mendeley.com/documents/?uuid=294a6a41-cb75-471b-ae20-938acc6838bc"]}],"mendeley":{"formattedCitation":"(Nasution, 2005)","plainTextFormattedCitation":"(Nasution, 2005)","previouslyFormattedCitation":"(Nasution, 2005)"},"properties":{"noteIndex":0},"schema":"https://github.com/citation-style-language/schema/raw/master/csl-citation.json"}</w:instrText>
      </w:r>
      <w:r w:rsidR="00D1377E">
        <w:rPr>
          <w:bCs/>
          <w:sz w:val="24"/>
          <w:szCs w:val="24"/>
        </w:rPr>
        <w:fldChar w:fldCharType="separate"/>
      </w:r>
      <w:r w:rsidR="00D1377E" w:rsidRPr="00D1377E">
        <w:rPr>
          <w:bCs/>
          <w:noProof/>
          <w:sz w:val="24"/>
          <w:szCs w:val="24"/>
        </w:rPr>
        <w:t>(Nasution, 2005)</w:t>
      </w:r>
      <w:r w:rsidR="00D1377E">
        <w:rPr>
          <w:bCs/>
          <w:sz w:val="24"/>
          <w:szCs w:val="24"/>
        </w:rPr>
        <w:fldChar w:fldCharType="end"/>
      </w:r>
      <w:r w:rsidRPr="003B45FA">
        <w:rPr>
          <w:bCs/>
          <w:sz w:val="24"/>
          <w:szCs w:val="24"/>
        </w:rPr>
        <w:t xml:space="preserve">. </w:t>
      </w:r>
    </w:p>
    <w:p w14:paraId="23E5BDDB" w14:textId="29C0B0AE" w:rsidR="00D1377E" w:rsidRDefault="003B45FA" w:rsidP="00D1377E">
      <w:pPr>
        <w:pStyle w:val="BodyText"/>
        <w:spacing w:line="276" w:lineRule="auto"/>
        <w:ind w:left="284" w:right="98" w:firstLine="567"/>
        <w:rPr>
          <w:bCs/>
          <w:sz w:val="24"/>
          <w:szCs w:val="24"/>
        </w:rPr>
      </w:pPr>
      <w:r w:rsidRPr="003B45FA">
        <w:rPr>
          <w:bCs/>
          <w:sz w:val="24"/>
          <w:szCs w:val="24"/>
        </w:rPr>
        <w:t xml:space="preserve">The field of medicine, which was initially closed, is now beginning to be entered by various legal issues. In the current era, it can be felt that doctors' activities in curing patients are often hampered by the attitude of patients or their families, namely the habit of legally demanding from doctors if their treatment is considered unsuccessful </w:t>
      </w:r>
      <w:r w:rsidR="00D1377E">
        <w:rPr>
          <w:bCs/>
          <w:sz w:val="24"/>
          <w:szCs w:val="24"/>
        </w:rPr>
        <w:fldChar w:fldCharType="begin" w:fldLock="1"/>
      </w:r>
      <w:r w:rsidR="0091167A">
        <w:rPr>
          <w:bCs/>
          <w:sz w:val="24"/>
          <w:szCs w:val="24"/>
        </w:rPr>
        <w:instrText>ADDIN CSL_CITATION {"citationItems":[{"id":"ITEM-1","itemData":{"ISBN":"6027408006","author":[{"dropping-particle":"","family":"Syah","given":"Mudakir Iskandar","non-dropping-particle":"","parse-names":false,"suffix":""}],"id":"ITEM-1","issued":{"date-parts":[["2016"]]},"publisher":"Calpulis","title":"Penyelesaian sengketa di luar pengadilan via arbitrase: dilengkapi Undang-Undang no. 30 tahun 1999 Tentang Arbitrase dan Alternatif Penyelesaian Sengketa","type":"book"},"uris":["http://www.mendeley.com/documents/?uuid=d6ec8ab5-6aff-42b8-8e2f-96fdaf869a43"]}],"mendeley":{"formattedCitation":"(Syah, 2016)","plainTextFormattedCitation":"(Syah, 2016)","previouslyFormattedCitation":"(Syah, 2016)"},"properties":{"noteIndex":0},"schema":"https://github.com/citation-style-language/schema/raw/master/csl-citation.json"}</w:instrText>
      </w:r>
      <w:r w:rsidR="00D1377E">
        <w:rPr>
          <w:bCs/>
          <w:sz w:val="24"/>
          <w:szCs w:val="24"/>
        </w:rPr>
        <w:fldChar w:fldCharType="separate"/>
      </w:r>
      <w:r w:rsidR="00D1377E" w:rsidRPr="00D1377E">
        <w:rPr>
          <w:bCs/>
          <w:noProof/>
          <w:sz w:val="24"/>
          <w:szCs w:val="24"/>
        </w:rPr>
        <w:t>(Shah, 2016)</w:t>
      </w:r>
      <w:r w:rsidR="00D1377E">
        <w:rPr>
          <w:bCs/>
          <w:sz w:val="24"/>
          <w:szCs w:val="24"/>
        </w:rPr>
        <w:fldChar w:fldCharType="end"/>
      </w:r>
      <w:r w:rsidRPr="003B45FA">
        <w:rPr>
          <w:bCs/>
          <w:sz w:val="24"/>
          <w:szCs w:val="24"/>
        </w:rPr>
        <w:t xml:space="preserve">. According to the law, responsibility is a consequence of the consequences of a person's freedom about his or her actions related to ethics or morals in doing an act </w:t>
      </w:r>
      <w:r w:rsidR="0091167A">
        <w:rPr>
          <w:bCs/>
          <w:sz w:val="24"/>
          <w:szCs w:val="24"/>
        </w:rPr>
        <w:fldChar w:fldCharType="begin" w:fldLock="1"/>
      </w:r>
      <w:r w:rsidR="0091167A">
        <w:rPr>
          <w:bCs/>
          <w:sz w:val="24"/>
          <w:szCs w:val="24"/>
        </w:rPr>
        <w:instrText>ADDIN CSL_CITATION {"citationItems":[{"id":"ITEM-1","itemData":{"author":[{"dropping-particle":"","family":"Soekidjo","given":"Notoatmodjo","non-dropping-particle":"","parse-names":false,"suffix":""}],"container-title":"Jakarta: Rineka Cipta","id":"ITEM-1","issued":{"date-parts":[["2010"]]},"title":"Etika dan hukum kesehatan","type":"article-journal","volume":"44"},"uris":["http://www.mendeley.com/documents/?uuid=f524d497-8373-4f46-af79-c36cfca4d9a5"]}],"mendeley":{"formattedCitation":"(Soekidjo, 2010)","plainTextFormattedCitation":"(Soekidjo, 2010)","previouslyFormattedCitation":"(Soekidjo, 2010)"},"properties":{"noteIndex":0},"schema":"https://github.com/citation-style-language/schema/raw/master/csl-citation.json"}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(Soekidjo, 2010)</w:t>
      </w:r>
      <w:r w:rsidR="0091167A">
        <w:rPr>
          <w:bCs/>
          <w:sz w:val="24"/>
          <w:szCs w:val="24"/>
        </w:rPr>
        <w:fldChar w:fldCharType="end"/>
      </w:r>
      <w:r w:rsidRPr="003B45FA">
        <w:rPr>
          <w:bCs/>
          <w:sz w:val="24"/>
          <w:szCs w:val="24"/>
        </w:rPr>
        <w:t xml:space="preserve">. Next according to the Quarterly Point </w:t>
      </w:r>
      <w:r w:rsidR="0091167A">
        <w:rPr>
          <w:bCs/>
          <w:sz w:val="24"/>
          <w:szCs w:val="24"/>
        </w:rPr>
        <w:fldChar w:fldCharType="begin" w:fldLock="1"/>
      </w:r>
      <w:r w:rsidR="0091167A">
        <w:rPr>
          <w:bCs/>
          <w:sz w:val="24"/>
          <w:szCs w:val="24"/>
        </w:rPr>
        <w:instrText>ADDIN CSL_CITATION {"citationItems":[{"id":"ITEM-1","itemData":{"ISBN":"6028470635","author":[{"dropping-particle":"","family":"Tutik","given":"Titik Triwulan","non-dropping-particle":"","parse-names":false,"suffix":""},{"dropping-particle":"","family":"Febriana","given":"Shita","non-dropping-particle":"","parse-names":false,"suffix":""}],"id":"ITEM-1","issued":{"date-parts":[["2010"]]},"publisher":"Prestasi Pustaka Publisher","title":"Perlindungan hukum bagi pasien","type":"book"},"uris":["http://www.mendeley.com/documents/?uuid=6fac19e2-77b5-493d-9b2e-abc692ada713"]}],"mendeley":{"formattedCitation":"(Tutik &amp; Febriana, 2010)","plainTextFormattedCitation":"(Tutik &amp; Febriana, 2010)","previouslyFormattedCitation":"(Tutik &amp; Febriana, 2010)"},"properties":{"noteIndex":0},"schema":"https://github.com/citation-style-language/schema/raw/master/csl-citation.json"}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(Tutik &amp; Febriana, 2010)</w:t>
      </w:r>
      <w:r w:rsidR="0091167A">
        <w:rPr>
          <w:bCs/>
          <w:sz w:val="24"/>
          <w:szCs w:val="24"/>
        </w:rPr>
        <w:fldChar w:fldCharType="end"/>
      </w:r>
      <w:r w:rsidRPr="003B45FA">
        <w:rPr>
          <w:bCs/>
          <w:sz w:val="24"/>
          <w:szCs w:val="24"/>
        </w:rPr>
        <w:t xml:space="preserve"> Accountability must have a basis, namely things that cause the legal right for a person to sue others as well as things that give birth to the legal obligation of others to give accountability.  </w:t>
      </w:r>
    </w:p>
    <w:p w14:paraId="4DF364E1" w14:textId="77777777" w:rsidR="00D1377E" w:rsidRDefault="003B45FA" w:rsidP="00D1377E">
      <w:pPr>
        <w:pStyle w:val="BodyText"/>
        <w:spacing w:line="276" w:lineRule="auto"/>
        <w:ind w:left="284" w:right="98" w:firstLine="567"/>
        <w:rPr>
          <w:bCs/>
          <w:sz w:val="24"/>
          <w:szCs w:val="24"/>
        </w:rPr>
      </w:pPr>
      <w:r w:rsidRPr="003B45FA">
        <w:rPr>
          <w:bCs/>
          <w:sz w:val="24"/>
          <w:szCs w:val="24"/>
        </w:rPr>
        <w:t>The responsibility of a doctor is an attachment of a doctor to the provisions of the law in carrying out his profession. As a natural legal subject, in carrying out health services, doctors are bound and must be responsible for all things that arise as a result of the implementation of their legal status as bearers of rights and obligations. So, responsibility contains the meaning of being able to bear the burden of liability for everything due to his actions.</w:t>
      </w:r>
    </w:p>
    <w:p w14:paraId="0A103ABC" w14:textId="77777777" w:rsidR="00D1377E" w:rsidRDefault="003B45FA" w:rsidP="00D1377E">
      <w:pPr>
        <w:pStyle w:val="BodyText"/>
        <w:spacing w:line="276" w:lineRule="auto"/>
        <w:ind w:left="284" w:right="98" w:firstLine="567"/>
        <w:rPr>
          <w:bCs/>
          <w:sz w:val="24"/>
          <w:szCs w:val="24"/>
        </w:rPr>
      </w:pPr>
      <w:r w:rsidRPr="003B45FA">
        <w:rPr>
          <w:bCs/>
          <w:sz w:val="24"/>
          <w:szCs w:val="24"/>
        </w:rPr>
        <w:t xml:space="preserve">According to the law, responsibility is a consequence of the consequences of a person's freedom about his or her actions related to ethics or morals in carrying out an act.  In an act or legal relationship carried out by a legal subject, it will definitely give rise to legal responsibility, so the existence of legal responsibility will give rise to rights and obligations for legal subjects. Because legal responsibility is a principle that arises from a </w:t>
      </w:r>
      <w:r w:rsidRPr="003B45FA">
        <w:rPr>
          <w:bCs/>
          <w:sz w:val="24"/>
          <w:szCs w:val="24"/>
        </w:rPr>
        <w:lastRenderedPageBreak/>
        <w:t>legal relationship that must be implemented. Legal responsibilities related to the implementation of their profession can still be distinguished between: responsibility for professional provisions as regulated in the Indonesian medical code of ethics (KODEKI) and legal responsibility for legal provisions covering the fields of administrative law, criminal law, and civil law.</w:t>
      </w:r>
    </w:p>
    <w:p w14:paraId="54D3E57C" w14:textId="77777777" w:rsidR="00D1377E" w:rsidRDefault="003B45FA" w:rsidP="00D1377E">
      <w:pPr>
        <w:pStyle w:val="BodyText"/>
        <w:spacing w:line="276" w:lineRule="auto"/>
        <w:ind w:left="284" w:right="98" w:firstLine="567"/>
        <w:rPr>
          <w:bCs/>
          <w:sz w:val="24"/>
          <w:szCs w:val="24"/>
        </w:rPr>
      </w:pPr>
      <w:r w:rsidRPr="003B45FA">
        <w:rPr>
          <w:bCs/>
          <w:sz w:val="24"/>
          <w:szCs w:val="24"/>
        </w:rPr>
        <w:t xml:space="preserve">In the Criminal Code and other criminal laws and regulations, the definition of criminal liability is not found. However, in Article 36 of Law N0. 1 of 2023 concerning the Criminal Code, formulated (1) Every Person can only be held accountable for a Criminal Offense committed intentionally or due to negligence. (2) An act that can be punished is a criminal act committed intentionally, while a criminal act committed due to negligence can be punished if it is expressly specified in the laws and regulations. </w:t>
      </w:r>
    </w:p>
    <w:p w14:paraId="3F82CED7" w14:textId="77777777" w:rsidR="00D1377E" w:rsidRDefault="003B45FA" w:rsidP="00D1377E">
      <w:pPr>
        <w:pStyle w:val="BodyText"/>
        <w:spacing w:line="276" w:lineRule="auto"/>
        <w:ind w:left="284" w:right="98" w:firstLine="567"/>
        <w:rPr>
          <w:bCs/>
          <w:sz w:val="24"/>
          <w:szCs w:val="24"/>
        </w:rPr>
      </w:pPr>
      <w:r w:rsidRPr="003B45FA">
        <w:rPr>
          <w:bCs/>
          <w:sz w:val="24"/>
          <w:szCs w:val="24"/>
        </w:rPr>
        <w:t>In medical practice, violations of professional discipline are violations of medical professional standards. The responsibility of the doctor profession is closely related to the professionalism of a doctor. The legal responsibility of doctors in administrative law concerns the authority of doctors in carrying out their professional duties. For example, the actions of doctors who are categorized as administrative are carrying out practices without permission from the government, performing medical procedures that are not in accordance with the permits they have, practicing using expired permits and not making medical records. Doctors as the operator of the electronic system cause losses to patients, so the basis for their claim can be submitted based on Article 38 Paragraph (1) of the ITE Law which stipulates that everyone can file a lawsuit against the party who organizes the electronic system and/or uses Information Technology that causes losses.  The responsibility of doctors as operators of electronic systems is limited only to responsibilities related to their professional obligations or those that are only related to the health field in the online medical service.</w:t>
      </w:r>
    </w:p>
    <w:p w14:paraId="78CC9D81" w14:textId="20F6D2F1" w:rsidR="00B877B2" w:rsidRPr="003B45FA" w:rsidRDefault="003B45FA" w:rsidP="00D1377E">
      <w:pPr>
        <w:pStyle w:val="BodyText"/>
        <w:spacing w:line="276" w:lineRule="auto"/>
        <w:ind w:left="284" w:right="98" w:firstLine="567"/>
        <w:rPr>
          <w:bCs/>
          <w:sz w:val="24"/>
          <w:szCs w:val="24"/>
        </w:rPr>
      </w:pPr>
      <w:r w:rsidRPr="003B45FA">
        <w:rPr>
          <w:bCs/>
          <w:sz w:val="24"/>
          <w:szCs w:val="24"/>
        </w:rPr>
        <w:t xml:space="preserve">One of them is that the patient's confidentiality in this case (medical records) may not be properly protected. In addition, if you look at the standard medical practice carried out in the clinic in general, of course this causes its own problems, because the online diagnosis process by doctors is carried out without face-to-face contact with the patient, so it does not rule out the possibility of misdiagnosis of the patient. The large percentage of diagnostic errors by doctors to patients in online medical practice services is one of the challenges that must be faced for progress in the health sector. If a diagnosis error by a doctor occurs, then the doctor should be able or can be held accountable, and what is the form of responsibility of the doctor who practices online if there is a loss to his patients based on the applicable laws in Indonesia </w:t>
      </w:r>
      <w:r w:rsidR="0091167A">
        <w:rPr>
          <w:bCs/>
          <w:sz w:val="24"/>
          <w:szCs w:val="24"/>
        </w:rPr>
        <w:fldChar w:fldCharType="begin" w:fldLock="1"/>
      </w:r>
      <w:r w:rsidR="0091167A">
        <w:rPr>
          <w:bCs/>
          <w:sz w:val="24"/>
          <w:szCs w:val="24"/>
        </w:rPr>
        <w:instrText>ADDIN CSL_CITATION {"citationItems":[{"id":"ITEM-1","itemData":{"author":[{"dropping-particle":"","family":"Negara","given":"Perubahan Ketiga Undang-Undang Dasar","non-dropping-particle":"","parse-names":false,"suffix":""}],"container-title":"Jakarta, Indonesia: www. mpr. go. id","id":"ITEM-1","issued":{"date-parts":[["2001"]]},"title":"Republik Indonesia Tahun 1945","type":"article-journal"},"uris":["http://www.mendeley.com/documents/?uuid=8e619a7e-3db7-41aa-8e58-35d9e487b525"]}],"mendeley":{"formattedCitation":"(Negara, 2001)","plainTextFormattedCitation":"(Negara, 2001)","previouslyFormattedCitation":"(Negara, 2001)"},"properties":{"noteIndex":0},"schema":"https://github.com/citation-style-language/schema/raw/master/csl-citation.json"}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(The Nation, 2001)</w:t>
      </w:r>
      <w:r w:rsidR="0091167A">
        <w:rPr>
          <w:bCs/>
          <w:sz w:val="24"/>
          <w:szCs w:val="24"/>
        </w:rPr>
        <w:fldChar w:fldCharType="end"/>
      </w:r>
      <w:r w:rsidR="0091167A">
        <w:rPr>
          <w:bCs/>
          <w:sz w:val="24"/>
          <w:szCs w:val="24"/>
        </w:rPr>
        <w:t xml:space="preserve"> </w:t>
      </w:r>
      <w:r w:rsidR="0091167A">
        <w:rPr>
          <w:bCs/>
          <w:sz w:val="24"/>
          <w:szCs w:val="24"/>
        </w:rPr>
        <w:fldChar w:fldCharType="begin" w:fldLock="1"/>
      </w:r>
      <w:r w:rsidR="0091167A">
        <w:rPr>
          <w:bCs/>
          <w:sz w:val="24"/>
          <w:szCs w:val="24"/>
        </w:rPr>
        <w:instrText>ADDIN CSL_CITATION {"citationItems":[{"id":"ITEM-1","itemData":{"ISBN":"6233280311","author":[{"dropping-particle":"","family":"Moeljatno","given":"S H","non-dropping-particle":"","parse-names":false,"suffix":""}],"id":"ITEM-1","issued":{"date-parts":[["2021"]]},"publisher":"Bumi Aksara","title":"KUHP (Kitab undang-undang hukum pidana)","type":"book"},"uris":["http://www.mendeley.com/documents/?uuid=c48ec938-d1c4-4e16-a416-e85ef394d9c1"]}],"mendeley":{"formattedCitation":"(Moeljatno, 2021)","plainTextFormattedCitation":"(Moeljatno, 2021)","previouslyFormattedCitation":"(Moeljatno, 2021)"},"properties":{"noteIndex":0},"schema":"https://github.com/citation-style-language/schema/raw/master/csl-citation.json"}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(Moelyatno, 2021)</w:t>
      </w:r>
      <w:r w:rsidR="0091167A">
        <w:rPr>
          <w:bCs/>
          <w:sz w:val="24"/>
          <w:szCs w:val="24"/>
        </w:rPr>
        <w:fldChar w:fldCharType="end"/>
      </w:r>
      <w:r w:rsidR="0091167A">
        <w:rPr>
          <w:bCs/>
          <w:sz w:val="24"/>
          <w:szCs w:val="24"/>
        </w:rPr>
        <w:t xml:space="preserve"> </w:t>
      </w:r>
      <w:r w:rsidR="0091167A">
        <w:rPr>
          <w:bCs/>
          <w:sz w:val="24"/>
          <w:szCs w:val="24"/>
        </w:rPr>
        <w:fldChar w:fldCharType="begin" w:fldLock="1"/>
      </w:r>
      <w:r w:rsidR="0091167A">
        <w:rPr>
          <w:bCs/>
          <w:sz w:val="24"/>
          <w:szCs w:val="24"/>
        </w:rPr>
        <w:instrText>ADDIN CSL_CITATION {"citationItems":[{"id":"ITEM-1","itemData":{"ISBN":"9790712278","author":[{"dropping-particle":"","family":"Meliala","given":"Djaja Sembiring","non-dropping-particle":"","parse-names":false,"suffix":""}],"id":"ITEM-1","issued":{"date-parts":[["2014"]]},"publisher":"Nuansa Aulia","title":"Hukum Perdata Dalam Perspektif BW","type":"book"},"uris":["http://www.mendeley.com/documents/?uuid=d5bbde18-d974-41dc-92dd-511938761551"]}],"mendeley":{"formattedCitation":"(Meliala, 2014)","plainTextFormattedCitation":"(Meliala, 2014)","previouslyFormattedCitation":"(Meliala, 2014)"},"properties":{"noteIndex":0},"schema":"https://github.com/citation-style-language/schema/raw/master/csl-citation.json"}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(Meliala, 2014)</w:t>
      </w:r>
      <w:r w:rsidR="0091167A">
        <w:rPr>
          <w:bCs/>
          <w:sz w:val="24"/>
          <w:szCs w:val="24"/>
        </w:rPr>
        <w:fldChar w:fldCharType="end"/>
      </w:r>
      <w:r w:rsidR="0091167A">
        <w:rPr>
          <w:bCs/>
          <w:sz w:val="24"/>
          <w:szCs w:val="24"/>
        </w:rPr>
        <w:t xml:space="preserve"> </w:t>
      </w:r>
      <w:r w:rsidR="0091167A">
        <w:rPr>
          <w:bCs/>
          <w:sz w:val="24"/>
          <w:szCs w:val="24"/>
        </w:rPr>
        <w:fldChar w:fldCharType="begin" w:fldLock="1"/>
      </w:r>
      <w:r w:rsidR="00DE6B01">
        <w:rPr>
          <w:bCs/>
          <w:sz w:val="24"/>
          <w:szCs w:val="24"/>
        </w:rPr>
        <w:instrText>ADDIN CSL_CITATION {"citationItems":[{"id":"ITEM-1","itemData":{"author":[{"dropping-particle":"","family":"Indonesia","given":"Presiden Republik","non-dropping-particle":"","parse-names":false,"suffix":""}],"container-title":"Undang-undang Nomor","id":"ITEM-1","issued":{"date-parts":[["2023"]]},"title":"Undang-Undang Nomor 17 Tahun 2023 Tentang Kesehatan","type":"article-journal","volume":"17"},"uris":["http://www.mendeley.com/documents/?uuid=ad1dde3c-d584-40eb-b4ce-35a158236595"]}],"mendeley":{"formattedCitation":"(Indonesia, 2023)","plainTextFormattedCitation":"(Indonesia, 2023)","previouslyFormattedCitation":"(Indonesia, 2023)"},"properties":{"noteIndex":0},"schema":"https://github.com/citation-style-language/schema/raw/master/csl-citation.json"}</w:instrText>
      </w:r>
      <w:r w:rsidR="0091167A">
        <w:rPr>
          <w:bCs/>
          <w:sz w:val="24"/>
          <w:szCs w:val="24"/>
        </w:rPr>
        <w:fldChar w:fldCharType="separate"/>
      </w:r>
      <w:r w:rsidR="0091167A" w:rsidRPr="0091167A">
        <w:rPr>
          <w:bCs/>
          <w:noProof/>
          <w:sz w:val="24"/>
          <w:szCs w:val="24"/>
        </w:rPr>
        <w:t>(Indonesia, 2023)</w:t>
      </w:r>
      <w:r w:rsidR="0091167A">
        <w:rPr>
          <w:bCs/>
          <w:sz w:val="24"/>
          <w:szCs w:val="24"/>
        </w:rPr>
        <w:fldChar w:fldCharType="end"/>
      </w:r>
      <w:r w:rsidR="00DE6B01">
        <w:rPr>
          <w:bCs/>
          <w:sz w:val="24"/>
          <w:szCs w:val="24"/>
        </w:rPr>
        <w:t xml:space="preserve"> </w:t>
      </w:r>
      <w:r w:rsidR="00DE6B01">
        <w:rPr>
          <w:bCs/>
          <w:sz w:val="24"/>
          <w:szCs w:val="24"/>
        </w:rPr>
        <w:fldChar w:fldCharType="begin" w:fldLock="1"/>
      </w:r>
      <w:r w:rsidR="00DE6B01">
        <w:rPr>
          <w:bCs/>
          <w:sz w:val="24"/>
          <w:szCs w:val="24"/>
        </w:rPr>
        <w:instrText>ADDIN CSL_CITATION {"citationItems":[{"id":"ITEM-1","itemData":{"author":[{"dropping-particle":"","family":"Nomor","given":"Undang-Undang","non-dropping-particle":"","parse-names":false,"suffix":""}],"id":"ITEM-1","issued":{"date-parts":[["11"]]},"title":"Tahun 2008 tentang Informasi dan Transaksi Elektronik.(nd)","type":"article-journal"},"uris":["http://www.mendeley.com/documents/?uuid=8f69eec2-f262-4ecf-9e37-9387dd21c6f4"]}],"mendeley":{"formattedCitation":"(Nomor, 11 C.E.)","plainTextFormattedCitation":"(Nomor, 11 C.E.)","previouslyFormattedCitation":"(Nomor, 11 C.E.)"},"properties":{"noteIndex":0},"schema":"https://github.com/citation-style-language/schema/raw/master/csl-citation.json"}</w:instrText>
      </w:r>
      <w:r w:rsidR="00DE6B01">
        <w:rPr>
          <w:bCs/>
          <w:sz w:val="24"/>
          <w:szCs w:val="24"/>
        </w:rPr>
        <w:fldChar w:fldCharType="separate"/>
      </w:r>
      <w:r w:rsidR="00DE6B01" w:rsidRPr="00DE6B01">
        <w:rPr>
          <w:bCs/>
          <w:noProof/>
          <w:sz w:val="24"/>
          <w:szCs w:val="24"/>
        </w:rPr>
        <w:t>(No., 11 C.E.)</w:t>
      </w:r>
      <w:r w:rsidR="00DE6B01">
        <w:rPr>
          <w:bCs/>
          <w:sz w:val="24"/>
          <w:szCs w:val="24"/>
        </w:rPr>
        <w:fldChar w:fldCharType="end"/>
      </w:r>
      <w:r w:rsidR="00DE6B01">
        <w:rPr>
          <w:bCs/>
          <w:sz w:val="24"/>
          <w:szCs w:val="24"/>
        </w:rPr>
        <w:t xml:space="preserve"> </w:t>
      </w:r>
      <w:r w:rsidR="00DE6B01">
        <w:rPr>
          <w:bCs/>
          <w:sz w:val="24"/>
          <w:szCs w:val="24"/>
        </w:rPr>
        <w:fldChar w:fldCharType="begin" w:fldLock="1"/>
      </w:r>
      <w:r w:rsidR="00DE6B01">
        <w:rPr>
          <w:bCs/>
          <w:sz w:val="24"/>
          <w:szCs w:val="24"/>
        </w:rPr>
        <w:instrText>ADDIN CSL_CITATION {"citationItems":[{"id":"ITEM-1","itemData":{"ISSN":"2580-2372","author":[{"dropping-particle":"","family":"Artioko","given":"Fiqih Rizki","non-dropping-particle":"","parse-names":false,"suffix":""}],"container-title":"Al-Qisth Law Review","id":"ITEM-1","issue":"1","issued":{"date-parts":[["2022"]]},"page":"52-83","title":"Pengadopsian Partisipasi Masyarakat Yang Bermakna (Meaningful Participation) Dalam Undang-Undang Nomor 13 Tahun 2022tentang Perubahan Kedua Undang-Undang Nomor 12 Tahun 2011 Tentang Pembentukan Peraturan Perundang-Undangan","type":"article-journal","volume":"6"},"uris":["http://www.mendeley.com/documents/?uuid=811cb54c-e016-4f9e-997b-f2062fbd79a6"]}],"mendeley":{"formattedCitation":"(Artioko, 2022)","plainTextFormattedCitation":"(Artioko, 2022)","previouslyFormattedCitation":"(Artioko, 2022)"},"properties":{"noteIndex":0},"schema":"https://github.com/citation-style-language/schema/raw/master/csl-citation.json"}</w:instrText>
      </w:r>
      <w:r w:rsidR="00DE6B01">
        <w:rPr>
          <w:bCs/>
          <w:sz w:val="24"/>
          <w:szCs w:val="24"/>
        </w:rPr>
        <w:fldChar w:fldCharType="separate"/>
      </w:r>
      <w:r w:rsidR="00DE6B01" w:rsidRPr="00DE6B01">
        <w:rPr>
          <w:bCs/>
          <w:noProof/>
          <w:sz w:val="24"/>
          <w:szCs w:val="24"/>
        </w:rPr>
        <w:t>(Artioko, 2022)</w:t>
      </w:r>
      <w:r w:rsidR="00DE6B01">
        <w:rPr>
          <w:bCs/>
          <w:sz w:val="24"/>
          <w:szCs w:val="24"/>
        </w:rPr>
        <w:fldChar w:fldCharType="end"/>
      </w:r>
      <w:r w:rsidR="00DE6B01">
        <w:rPr>
          <w:bCs/>
          <w:sz w:val="24"/>
          <w:szCs w:val="24"/>
        </w:rPr>
        <w:t xml:space="preserve"> </w:t>
      </w:r>
      <w:r w:rsidR="00DE6B01">
        <w:rPr>
          <w:bCs/>
          <w:sz w:val="24"/>
          <w:szCs w:val="24"/>
        </w:rPr>
        <w:fldChar w:fldCharType="begin" w:fldLock="1"/>
      </w:r>
      <w:r w:rsidR="00DE6B01">
        <w:rPr>
          <w:bCs/>
          <w:sz w:val="24"/>
          <w:szCs w:val="24"/>
        </w:rPr>
        <w:instrText>ADDIN CSL_CITATION {"citationItems":[{"id":"ITEM-1","itemData":{"author":[{"dropping-particle":"","family":"Puspita","given":"Atrianta Dea","non-dropping-particle":"","parse-names":false,"suffix":""}],"id":"ITEM-1","issued":{"date-parts":[["2023"]]},"publisher":"Universitas 17 Agustus 1945 Surabaya","title":"Perlindungan Hukum bagi Dokter yang Melakukan Pelayanan Telemedicine (Legal Protection for Doctors Performing Telemedicine Services)","type":"article"},"uris":["http://www.mendeley.com/documents/?uuid=1816d261-7ad4-48b0-bf8e-15a93bc4efb5"]}],"mendeley":{"formattedCitation":"(Puspita, 2023)","plainTextFormattedCitation":"(Puspita, 2023)"},"properties":{"noteIndex":0},"schema":"https://github.com/citation-style-language/schema/raw/master/csl-citation.json"}</w:instrText>
      </w:r>
      <w:r w:rsidR="00DE6B01">
        <w:rPr>
          <w:bCs/>
          <w:sz w:val="24"/>
          <w:szCs w:val="24"/>
        </w:rPr>
        <w:fldChar w:fldCharType="separate"/>
      </w:r>
      <w:r w:rsidR="00DE6B01" w:rsidRPr="00DE6B01">
        <w:rPr>
          <w:bCs/>
          <w:noProof/>
          <w:sz w:val="24"/>
          <w:szCs w:val="24"/>
        </w:rPr>
        <w:t>(Puspita, 2023)</w:t>
      </w:r>
      <w:r w:rsidR="00DE6B01">
        <w:rPr>
          <w:bCs/>
          <w:sz w:val="24"/>
          <w:szCs w:val="24"/>
        </w:rPr>
        <w:fldChar w:fldCharType="end"/>
      </w:r>
      <w:r w:rsidRPr="003B45FA">
        <w:rPr>
          <w:bCs/>
          <w:sz w:val="24"/>
          <w:szCs w:val="24"/>
        </w:rPr>
        <w:t>.</w:t>
      </w:r>
    </w:p>
    <w:p w14:paraId="43981428" w14:textId="77777777" w:rsidR="00CB50FE" w:rsidRPr="00CB50FE" w:rsidRDefault="00CB50FE" w:rsidP="00CB50FE">
      <w:pPr>
        <w:pStyle w:val="BodyText"/>
        <w:spacing w:line="276" w:lineRule="auto"/>
        <w:ind w:right="98" w:firstLine="0"/>
        <w:rPr>
          <w:bCs/>
          <w:sz w:val="24"/>
          <w:szCs w:val="24"/>
        </w:rPr>
      </w:pPr>
    </w:p>
    <w:p w14:paraId="571C0BDF" w14:textId="77777777" w:rsidR="009E322F" w:rsidRPr="007C2974" w:rsidRDefault="009E322F" w:rsidP="009E322F">
      <w:pPr>
        <w:pStyle w:val="BodyText"/>
        <w:spacing w:line="276" w:lineRule="auto"/>
        <w:ind w:right="98" w:firstLine="0"/>
        <w:rPr>
          <w:b/>
          <w:bCs/>
          <w:sz w:val="24"/>
          <w:szCs w:val="24"/>
        </w:rPr>
      </w:pPr>
      <w:r w:rsidRPr="007C2974">
        <w:rPr>
          <w:b/>
          <w:bCs/>
          <w:sz w:val="24"/>
          <w:szCs w:val="24"/>
        </w:rPr>
        <w:t>CONCLUSION</w:t>
      </w:r>
    </w:p>
    <w:p w14:paraId="0F91C33B" w14:textId="1348D193" w:rsidR="00427F76" w:rsidRPr="00682B2C" w:rsidRDefault="00D1377E" w:rsidP="00427F76">
      <w:pPr>
        <w:pStyle w:val="BodyText"/>
        <w:spacing w:line="276" w:lineRule="auto"/>
        <w:ind w:right="98" w:firstLine="567"/>
        <w:rPr>
          <w:bCs/>
          <w:sz w:val="24"/>
          <w:szCs w:val="24"/>
        </w:rPr>
      </w:pPr>
      <w:r w:rsidRPr="00D1377E">
        <w:rPr>
          <w:bCs/>
          <w:sz w:val="24"/>
          <w:szCs w:val="24"/>
        </w:rPr>
        <w:t xml:space="preserve">The regulation or legal basis for telemedicine regulations in Indonesia is contained in Law Number 17 of 2023 concerning Health and Regulation of the Minister of Health Number 20 of 2019 concerning the Implementation of Telemedicine Services Between Health Service Facilities and Ministry of Health Number 489 of 2021 concerning Telemedicine. Legal Responsibility of doctors in carrying out Virtual Health Services (Telemedicine) is a civil, </w:t>
      </w:r>
      <w:r w:rsidRPr="00D1377E">
        <w:rPr>
          <w:bCs/>
          <w:sz w:val="24"/>
          <w:szCs w:val="24"/>
        </w:rPr>
        <w:lastRenderedPageBreak/>
        <w:t>criminal, and administrative legal responsibility, while professional responsibility will be followed up in accordance with the procedures in the medical code of ethics.</w:t>
      </w:r>
    </w:p>
    <w:p w14:paraId="27F86B34" w14:textId="77777777" w:rsidR="009E322F" w:rsidRPr="00AF1EDC" w:rsidRDefault="009E322F" w:rsidP="009E322F">
      <w:pPr>
        <w:spacing w:line="276" w:lineRule="auto"/>
        <w:ind w:right="98"/>
        <w:jc w:val="both"/>
        <w:rPr>
          <w:sz w:val="24"/>
          <w:szCs w:val="24"/>
        </w:rPr>
      </w:pPr>
    </w:p>
    <w:p w14:paraId="00357BB7" w14:textId="77777777" w:rsidR="009E322F" w:rsidRDefault="009E322F" w:rsidP="009E322F">
      <w:pPr>
        <w:pStyle w:val="BodyText"/>
        <w:spacing w:line="276" w:lineRule="auto"/>
        <w:ind w:right="98" w:firstLine="0"/>
        <w:rPr>
          <w:b/>
          <w:sz w:val="24"/>
          <w:szCs w:val="24"/>
        </w:rPr>
      </w:pPr>
      <w:r w:rsidRPr="00AF1EDC">
        <w:rPr>
          <w:b/>
          <w:sz w:val="24"/>
          <w:szCs w:val="24"/>
        </w:rPr>
        <w:t>REFERENCES</w:t>
      </w:r>
    </w:p>
    <w:p w14:paraId="6137B835" w14:textId="5FC127DC" w:rsidR="005D5454" w:rsidRPr="00DE6B01" w:rsidRDefault="00B45CFF" w:rsidP="005D5454">
      <w:pPr>
        <w:widowControl w:val="0"/>
        <w:autoSpaceDE w:val="0"/>
        <w:autoSpaceDN w:val="0"/>
        <w:adjustRightInd w:val="0"/>
        <w:ind w:left="567" w:hanging="567"/>
        <w:jc w:val="both"/>
        <w:rPr>
          <w:noProof/>
          <w:sz w:val="24"/>
          <w:lang w:val="en-GB"/>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sidR="005D5454" w:rsidRPr="005D5454">
        <w:rPr>
          <w:noProof/>
          <w:sz w:val="24"/>
          <w:lang w:val="en-GB"/>
        </w:rPr>
        <w:t xml:space="preserve"> </w:t>
      </w:r>
      <w:r w:rsidR="005D5454" w:rsidRPr="00DE6B01">
        <w:rPr>
          <w:noProof/>
          <w:sz w:val="24"/>
          <w:lang w:val="en-GB"/>
        </w:rPr>
        <w:t xml:space="preserve">Artioko, F. R. (2022). Pengadopsian Partisipasi Masyarakat Yang Bermakna (Meaningful Participation) Dalam Undang-Undang Nomor 13 Tahun 2022tentang Perubahan Kedua Undang-Undang Nomor 12 Tahun 2011 Tentang Pembentukan Peraturan Perundang-Undangan. </w:t>
      </w:r>
      <w:r w:rsidR="005D5454" w:rsidRPr="00DE6B01">
        <w:rPr>
          <w:i/>
          <w:iCs/>
          <w:noProof/>
          <w:sz w:val="24"/>
          <w:lang w:val="en-GB"/>
        </w:rPr>
        <w:t>Al-Qisth Law Review</w:t>
      </w:r>
      <w:r w:rsidR="005D5454" w:rsidRPr="00DE6B01">
        <w:rPr>
          <w:noProof/>
          <w:sz w:val="24"/>
          <w:lang w:val="en-GB"/>
        </w:rPr>
        <w:t xml:space="preserve">, </w:t>
      </w:r>
      <w:r w:rsidR="005D5454" w:rsidRPr="00DE6B01">
        <w:rPr>
          <w:i/>
          <w:iCs/>
          <w:noProof/>
          <w:sz w:val="24"/>
          <w:lang w:val="en-GB"/>
        </w:rPr>
        <w:t>6</w:t>
      </w:r>
      <w:r w:rsidR="005D5454" w:rsidRPr="00DE6B01">
        <w:rPr>
          <w:noProof/>
          <w:sz w:val="24"/>
          <w:lang w:val="en-GB"/>
        </w:rPr>
        <w:t>(1), 52–83.</w:t>
      </w:r>
    </w:p>
    <w:p w14:paraId="31A2B228"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Ibrahim, J. (2006). Teori dan metodologi penelitian hukum normatif. </w:t>
      </w:r>
      <w:r w:rsidRPr="00DE6B01">
        <w:rPr>
          <w:i/>
          <w:iCs/>
          <w:noProof/>
          <w:sz w:val="24"/>
          <w:lang w:val="en-GB"/>
        </w:rPr>
        <w:t>Malang: Bayumedia Publishing</w:t>
      </w:r>
      <w:r w:rsidRPr="00DE6B01">
        <w:rPr>
          <w:noProof/>
          <w:sz w:val="24"/>
          <w:lang w:val="en-GB"/>
        </w:rPr>
        <w:t xml:space="preserve">, </w:t>
      </w:r>
      <w:r w:rsidRPr="00DE6B01">
        <w:rPr>
          <w:i/>
          <w:iCs/>
          <w:noProof/>
          <w:sz w:val="24"/>
          <w:lang w:val="en-GB"/>
        </w:rPr>
        <w:t>57</w:t>
      </w:r>
      <w:r w:rsidRPr="00DE6B01">
        <w:rPr>
          <w:noProof/>
          <w:sz w:val="24"/>
          <w:lang w:val="en-GB"/>
        </w:rPr>
        <w:t>(11).</w:t>
      </w:r>
    </w:p>
    <w:p w14:paraId="49996765"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Indonesia, P. R. (2023). Undang-Undang Nomor 17 Tahun 2023 Tentang Kesehatan. </w:t>
      </w:r>
      <w:r w:rsidRPr="00DE6B01">
        <w:rPr>
          <w:i/>
          <w:iCs/>
          <w:noProof/>
          <w:sz w:val="24"/>
          <w:lang w:val="en-GB"/>
        </w:rPr>
        <w:t>Undang-Undang Nomor</w:t>
      </w:r>
      <w:r w:rsidRPr="00DE6B01">
        <w:rPr>
          <w:noProof/>
          <w:sz w:val="24"/>
          <w:lang w:val="en-GB"/>
        </w:rPr>
        <w:t xml:space="preserve">, </w:t>
      </w:r>
      <w:r w:rsidRPr="00DE6B01">
        <w:rPr>
          <w:i/>
          <w:iCs/>
          <w:noProof/>
          <w:sz w:val="24"/>
          <w:lang w:val="en-GB"/>
        </w:rPr>
        <w:t>17</w:t>
      </w:r>
      <w:r w:rsidRPr="00DE6B01">
        <w:rPr>
          <w:noProof/>
          <w:sz w:val="24"/>
          <w:lang w:val="en-GB"/>
        </w:rPr>
        <w:t>.</w:t>
      </w:r>
    </w:p>
    <w:p w14:paraId="1D2076BE"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Meliala, D. S. (2014). </w:t>
      </w:r>
      <w:r w:rsidRPr="00DE6B01">
        <w:rPr>
          <w:i/>
          <w:iCs/>
          <w:noProof/>
          <w:sz w:val="24"/>
          <w:lang w:val="en-GB"/>
        </w:rPr>
        <w:t>Hukum Perdata Dalam Perspektif BW</w:t>
      </w:r>
      <w:r w:rsidRPr="00DE6B01">
        <w:rPr>
          <w:noProof/>
          <w:sz w:val="24"/>
          <w:lang w:val="en-GB"/>
        </w:rPr>
        <w:t>. Nuansa Aulia.</w:t>
      </w:r>
    </w:p>
    <w:p w14:paraId="017823D4"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Moeljatno, S. H. (2021). </w:t>
      </w:r>
      <w:r w:rsidRPr="00DE6B01">
        <w:rPr>
          <w:i/>
          <w:iCs/>
          <w:noProof/>
          <w:sz w:val="24"/>
          <w:lang w:val="en-GB"/>
        </w:rPr>
        <w:t>KUHP (Kitab undang-undang hukum pidana)</w:t>
      </w:r>
      <w:r w:rsidRPr="00DE6B01">
        <w:rPr>
          <w:noProof/>
          <w:sz w:val="24"/>
          <w:lang w:val="en-GB"/>
        </w:rPr>
        <w:t>. Bumi Aksara.</w:t>
      </w:r>
    </w:p>
    <w:p w14:paraId="79033675"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Nasution, B. J. (2005). </w:t>
      </w:r>
      <w:r w:rsidRPr="00DE6B01">
        <w:rPr>
          <w:i/>
          <w:iCs/>
          <w:noProof/>
          <w:sz w:val="24"/>
          <w:lang w:val="en-GB"/>
        </w:rPr>
        <w:t>Hukum Kesehatan: Pertanggungjawaban Dokter</w:t>
      </w:r>
      <w:r w:rsidRPr="00DE6B01">
        <w:rPr>
          <w:noProof/>
          <w:sz w:val="24"/>
          <w:lang w:val="en-GB"/>
        </w:rPr>
        <w:t>. Rineka Cipta.</w:t>
      </w:r>
    </w:p>
    <w:p w14:paraId="0B4D1A6C"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Negara, P. K. U.-U. D. (2001). Republik Indonesia Tahun 1945. </w:t>
      </w:r>
      <w:r w:rsidRPr="00DE6B01">
        <w:rPr>
          <w:i/>
          <w:iCs/>
          <w:noProof/>
          <w:sz w:val="24"/>
          <w:lang w:val="en-GB"/>
        </w:rPr>
        <w:t>Jakarta, Indonesia: Www. Mpr. Go. Id</w:t>
      </w:r>
      <w:r w:rsidRPr="00DE6B01">
        <w:rPr>
          <w:noProof/>
          <w:sz w:val="24"/>
          <w:lang w:val="en-GB"/>
        </w:rPr>
        <w:t>.</w:t>
      </w:r>
    </w:p>
    <w:p w14:paraId="27FB6040"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Nomor, U.-U. (11 C.E.). </w:t>
      </w:r>
      <w:r w:rsidRPr="00DE6B01">
        <w:rPr>
          <w:i/>
          <w:iCs/>
          <w:noProof/>
          <w:sz w:val="24"/>
          <w:lang w:val="en-GB"/>
        </w:rPr>
        <w:t>Tahun 2008 tentang Informasi dan Transaksi Elektronik.(nd)</w:t>
      </w:r>
      <w:r w:rsidRPr="00DE6B01">
        <w:rPr>
          <w:noProof/>
          <w:sz w:val="24"/>
          <w:lang w:val="en-GB"/>
        </w:rPr>
        <w:t>.</w:t>
      </w:r>
    </w:p>
    <w:p w14:paraId="71A847DF"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Puspita, A. D. (2023). </w:t>
      </w:r>
      <w:r w:rsidRPr="00DE6B01">
        <w:rPr>
          <w:i/>
          <w:iCs/>
          <w:noProof/>
          <w:sz w:val="24"/>
          <w:lang w:val="en-GB"/>
        </w:rPr>
        <w:t>Perlindungan Hukum bagi Dokter yang Melakukan Pelayanan Telemedicine (Legal Protection for Doctors Performing Telemedicine Services)</w:t>
      </w:r>
      <w:r w:rsidRPr="00DE6B01">
        <w:rPr>
          <w:noProof/>
          <w:sz w:val="24"/>
          <w:lang w:val="en-GB"/>
        </w:rPr>
        <w:t>. Universitas 17 Agustus 1945 Surabaya.</w:t>
      </w:r>
    </w:p>
    <w:p w14:paraId="5FDA20EF"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Samil, R. S. (2001). </w:t>
      </w:r>
      <w:r w:rsidRPr="00DE6B01">
        <w:rPr>
          <w:i/>
          <w:iCs/>
          <w:noProof/>
          <w:sz w:val="24"/>
          <w:lang w:val="en-GB"/>
        </w:rPr>
        <w:t>Etika Kedokteran Indonesia</w:t>
      </w:r>
      <w:r w:rsidRPr="00DE6B01">
        <w:rPr>
          <w:noProof/>
          <w:sz w:val="24"/>
          <w:lang w:val="en-GB"/>
        </w:rPr>
        <w:t>.</w:t>
      </w:r>
    </w:p>
    <w:p w14:paraId="4E2E5275"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Santoso, A. P. A., Wahyudi, T., Rohmah, S. N., &amp; Haryadi, A. R. (2020). </w:t>
      </w:r>
      <w:r w:rsidRPr="00DE6B01">
        <w:rPr>
          <w:i/>
          <w:iCs/>
          <w:noProof/>
          <w:sz w:val="24"/>
          <w:lang w:val="en-GB"/>
        </w:rPr>
        <w:t>Perlindungan Hukum Tenaga Kesehatan dalam Gugus Tugas Percepatan Penanganan Covid-19 Ditinjau dari Sudut Pandang Hukum Administrasi Negara</w:t>
      </w:r>
      <w:r w:rsidRPr="00DE6B01">
        <w:rPr>
          <w:noProof/>
          <w:sz w:val="24"/>
          <w:lang w:val="en-GB"/>
        </w:rPr>
        <w:t>. CV Jejak (Jejak Publisher).</w:t>
      </w:r>
    </w:p>
    <w:p w14:paraId="621E1FFA"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Soekidjo, N. (2010). Etika dan hukum kesehatan. </w:t>
      </w:r>
      <w:r w:rsidRPr="00DE6B01">
        <w:rPr>
          <w:i/>
          <w:iCs/>
          <w:noProof/>
          <w:sz w:val="24"/>
          <w:lang w:val="en-GB"/>
        </w:rPr>
        <w:t>Jakarta: Rineka Cipta</w:t>
      </w:r>
      <w:r w:rsidRPr="00DE6B01">
        <w:rPr>
          <w:noProof/>
          <w:sz w:val="24"/>
          <w:lang w:val="en-GB"/>
        </w:rPr>
        <w:t xml:space="preserve">, </w:t>
      </w:r>
      <w:r w:rsidRPr="00DE6B01">
        <w:rPr>
          <w:i/>
          <w:iCs/>
          <w:noProof/>
          <w:sz w:val="24"/>
          <w:lang w:val="en-GB"/>
        </w:rPr>
        <w:t>44</w:t>
      </w:r>
      <w:r w:rsidRPr="00DE6B01">
        <w:rPr>
          <w:noProof/>
          <w:sz w:val="24"/>
          <w:lang w:val="en-GB"/>
        </w:rPr>
        <w:t>.</w:t>
      </w:r>
    </w:p>
    <w:p w14:paraId="38BDB2FB" w14:textId="77777777" w:rsidR="005D5454" w:rsidRPr="00DE6B01" w:rsidRDefault="005D5454" w:rsidP="005D5454">
      <w:pPr>
        <w:widowControl w:val="0"/>
        <w:autoSpaceDE w:val="0"/>
        <w:autoSpaceDN w:val="0"/>
        <w:adjustRightInd w:val="0"/>
        <w:ind w:left="567" w:hanging="567"/>
        <w:jc w:val="both"/>
        <w:rPr>
          <w:noProof/>
          <w:sz w:val="24"/>
          <w:lang w:val="en-GB"/>
        </w:rPr>
      </w:pPr>
      <w:r w:rsidRPr="00DE6B01">
        <w:rPr>
          <w:noProof/>
          <w:sz w:val="24"/>
          <w:lang w:val="en-GB"/>
        </w:rPr>
        <w:t xml:space="preserve">Syah, M. I. (2016). </w:t>
      </w:r>
      <w:r w:rsidRPr="00DE6B01">
        <w:rPr>
          <w:i/>
          <w:iCs/>
          <w:noProof/>
          <w:sz w:val="24"/>
          <w:lang w:val="en-GB"/>
        </w:rPr>
        <w:t>Penyelesaian sengketa di luar pengadilan via arbitrase: dilengkapi Undang-Undang no. 30 tahun 1999 Tentang Arbitrase dan Alternatif Penyelesaian Sengketa</w:t>
      </w:r>
      <w:r w:rsidRPr="00DE6B01">
        <w:rPr>
          <w:noProof/>
          <w:sz w:val="24"/>
          <w:lang w:val="en-GB"/>
        </w:rPr>
        <w:t>. Calpulis.</w:t>
      </w:r>
    </w:p>
    <w:p w14:paraId="35492BB6" w14:textId="60881602" w:rsidR="00DE6B01" w:rsidRPr="00DE6B01" w:rsidRDefault="005D5454" w:rsidP="005D5454">
      <w:pPr>
        <w:widowControl w:val="0"/>
        <w:autoSpaceDE w:val="0"/>
        <w:autoSpaceDN w:val="0"/>
        <w:adjustRightInd w:val="0"/>
        <w:ind w:left="567" w:hanging="567"/>
        <w:jc w:val="both"/>
        <w:rPr>
          <w:noProof/>
          <w:sz w:val="24"/>
        </w:rPr>
      </w:pPr>
      <w:r w:rsidRPr="00DE6B01">
        <w:rPr>
          <w:noProof/>
          <w:sz w:val="24"/>
          <w:lang w:val="en-GB"/>
        </w:rPr>
        <w:t xml:space="preserve">Tutik, T. T., &amp; Febriana, S. (2010). </w:t>
      </w:r>
      <w:r w:rsidRPr="00DE6B01">
        <w:rPr>
          <w:i/>
          <w:iCs/>
          <w:noProof/>
          <w:sz w:val="24"/>
          <w:lang w:val="en-GB"/>
        </w:rPr>
        <w:t>Perlindungan hukum bagi pasien</w:t>
      </w:r>
      <w:r w:rsidRPr="00DE6B01">
        <w:rPr>
          <w:noProof/>
          <w:sz w:val="24"/>
          <w:lang w:val="en-GB"/>
        </w:rPr>
        <w:t>. Prestasi Pustaka Publisher.</w:t>
      </w:r>
    </w:p>
    <w:p w14:paraId="4BE97E39" w14:textId="531EC5A0" w:rsidR="009E322F" w:rsidRPr="00984EB4" w:rsidRDefault="00B45CFF" w:rsidP="00DE6B01">
      <w:pPr>
        <w:widowControl w:val="0"/>
        <w:autoSpaceDE w:val="0"/>
        <w:autoSpaceDN w:val="0"/>
        <w:adjustRightInd w:val="0"/>
        <w:ind w:left="480" w:hanging="480"/>
        <w:rPr>
          <w:sz w:val="24"/>
          <w:szCs w:val="24"/>
        </w:rPr>
      </w:pPr>
      <w:r>
        <w:rPr>
          <w:sz w:val="24"/>
          <w:szCs w:val="24"/>
        </w:rPr>
        <w:fldChar w:fldCharType="end"/>
      </w:r>
    </w:p>
    <w:p w14:paraId="6F40BB41" w14:textId="54F1B2D7" w:rsidR="009E322F" w:rsidRDefault="009E322F"/>
    <w:sectPr w:rsidR="009E322F"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62241" w14:textId="77777777" w:rsidR="00A30182" w:rsidRDefault="00A30182" w:rsidP="009E322F">
      <w:r>
        <w:separator/>
      </w:r>
    </w:p>
  </w:endnote>
  <w:endnote w:type="continuationSeparator" w:id="0">
    <w:p w14:paraId="23259963" w14:textId="77777777" w:rsidR="00A30182" w:rsidRDefault="00A30182" w:rsidP="009E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B9CD" w14:textId="77777777" w:rsidR="00813677" w:rsidRPr="00471F60" w:rsidRDefault="005D62AD"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Pr>
        <w:noProof/>
      </w:rPr>
      <w:t>2</w:t>
    </w:r>
    <w:r>
      <w:fldChar w:fldCharType="end"/>
    </w:r>
    <w:r>
      <w:t xml:space="preserve">  </w:t>
    </w:r>
    <w:r>
      <w:tab/>
    </w:r>
    <w:r>
      <w:tab/>
    </w:r>
    <w:r>
      <w:tab/>
    </w:r>
    <w:r>
      <w:tab/>
    </w:r>
    <w:r>
      <w:tab/>
    </w:r>
    <w:r>
      <w:tab/>
    </w:r>
    <w:r>
      <w:tab/>
      <w:t xml:space="preserve">        </w:t>
    </w:r>
    <w:r>
      <w:tab/>
    </w:r>
    <w:r>
      <w:tab/>
    </w:r>
    <w:r w:rsidRPr="00471F60">
      <w:rPr>
        <w:rFonts w:asciiTheme="majorBidi" w:hAnsiTheme="majorBidi" w:cstheme="majorBidi"/>
        <w:b/>
        <w:bCs/>
        <w:i/>
        <w:iCs/>
      </w:rPr>
      <w:t>Vol., No.</w:t>
    </w:r>
    <w:r w:rsidRPr="00471F60">
      <w:rPr>
        <w:rFonts w:asciiTheme="majorBidi" w:hAnsiTheme="majorBidi" w:cstheme="majorBidi"/>
        <w:b/>
        <w:bCs/>
      </w:rPr>
      <w:t xml:space="preserve">, </w:t>
    </w:r>
    <w:r>
      <w:rPr>
        <w:rFonts w:asciiTheme="majorBidi" w:hAnsiTheme="majorBidi" w:cstheme="majorBidi"/>
        <w:b/>
        <w:bCs/>
        <w:i/>
        <w:iCs/>
      </w:rPr>
      <w:t>Month Year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79F9D" w14:textId="77777777" w:rsidR="00813677" w:rsidRDefault="00813677" w:rsidP="00751BB6">
    <w:pPr>
      <w:autoSpaceDE w:val="0"/>
      <w:autoSpaceDN w:val="0"/>
      <w:adjustRightInd w:val="0"/>
      <w:jc w:val="both"/>
      <w:rPr>
        <w:rFonts w:ascii="Book Antiqua" w:hAnsi="Book Antiqua"/>
        <w:i/>
        <w:iCs/>
        <w:lang w:val="id-ID"/>
      </w:rPr>
    </w:pPr>
  </w:p>
  <w:p w14:paraId="14C31D6F" w14:textId="77B85C64" w:rsidR="00813677" w:rsidRPr="00AA7648" w:rsidRDefault="005D62AD"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Pr>
        <w:noProof/>
      </w:rPr>
      <w:t>3</w:t>
    </w:r>
    <w:r>
      <w:fldChar w:fldCharType="end"/>
    </w:r>
    <w:r>
      <w:t xml:space="preserve">                   </w:t>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r>
    <w:r>
      <w:rPr>
        <w:rFonts w:ascii="Book Antiqua" w:hAnsi="Book Antiqua"/>
        <w:i/>
        <w:iCs/>
      </w:rPr>
      <w:tab/>
      <w:t xml:space="preserve">        </w:t>
    </w:r>
    <w:r>
      <w:rPr>
        <w:rFonts w:ascii="Book Antiqua" w:hAnsi="Book Antiqua"/>
        <w:i/>
        <w:iCs/>
      </w:rPr>
      <w:tab/>
    </w:r>
    <w:r>
      <w:rPr>
        <w:rFonts w:ascii="Book Antiqua" w:hAnsi="Book Antiqua"/>
        <w:i/>
        <w:iCs/>
      </w:rPr>
      <w:tab/>
    </w:r>
    <w:r w:rsidRPr="00471F60">
      <w:rPr>
        <w:rFonts w:asciiTheme="majorBidi" w:hAnsiTheme="majorBidi" w:cstheme="majorBidi"/>
        <w:b/>
        <w:bCs/>
        <w:i/>
        <w:iCs/>
      </w:rPr>
      <w:t>Vol.</w:t>
    </w:r>
    <w:r w:rsidR="006D4E44">
      <w:rPr>
        <w:rFonts w:asciiTheme="majorBidi" w:hAnsiTheme="majorBidi" w:cstheme="majorBidi"/>
        <w:b/>
        <w:bCs/>
        <w:i/>
        <w:iCs/>
      </w:rPr>
      <w:t>3</w:t>
    </w:r>
    <w:r w:rsidRPr="00471F60">
      <w:rPr>
        <w:rFonts w:asciiTheme="majorBidi" w:hAnsiTheme="majorBidi" w:cstheme="majorBidi"/>
        <w:b/>
        <w:bCs/>
        <w:i/>
        <w:iCs/>
      </w:rPr>
      <w:t>, No.</w:t>
    </w:r>
    <w:r w:rsidR="006D4E44">
      <w:rPr>
        <w:rFonts w:asciiTheme="majorBidi" w:hAnsiTheme="majorBidi" w:cstheme="majorBidi"/>
        <w:b/>
        <w:bCs/>
        <w:i/>
        <w:iCs/>
      </w:rPr>
      <w:t>8</w:t>
    </w:r>
    <w:r w:rsidRPr="00471F60">
      <w:rPr>
        <w:rFonts w:asciiTheme="majorBidi" w:hAnsiTheme="majorBidi" w:cstheme="majorBidi"/>
        <w:b/>
        <w:bCs/>
      </w:rPr>
      <w:t xml:space="preserve">, </w:t>
    </w:r>
    <w:r w:rsidR="006D4E44">
      <w:rPr>
        <w:rFonts w:asciiTheme="majorBidi" w:hAnsiTheme="majorBidi" w:cstheme="majorBidi"/>
        <w:b/>
        <w:bCs/>
        <w:i/>
        <w:iCs/>
      </w:rPr>
      <w:t>July</w:t>
    </w:r>
    <w:r>
      <w:rPr>
        <w:rFonts w:asciiTheme="majorBidi" w:hAnsiTheme="majorBidi" w:cstheme="majorBidi"/>
        <w:b/>
        <w:bCs/>
        <w:i/>
        <w:iCs/>
      </w:rPr>
      <w:t xml:space="preserve"> </w:t>
    </w:r>
    <w:r w:rsidR="006D4E44">
      <w:rPr>
        <w:rFonts w:asciiTheme="majorBidi" w:hAnsiTheme="majorBidi" w:cstheme="majorBidi"/>
        <w:b/>
        <w:bCs/>
        <w:i/>
        <w:iCs/>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5EC02764" w14:textId="77777777" w:rsidR="00813677" w:rsidRDefault="005D62AD"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Pr="00471F60">
          <w:rPr>
            <w:noProof/>
            <w:sz w:val="24"/>
            <w:szCs w:val="24"/>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266A9" w14:textId="77777777" w:rsidR="00A30182" w:rsidRDefault="00A30182" w:rsidP="009E322F">
      <w:r>
        <w:separator/>
      </w:r>
    </w:p>
  </w:footnote>
  <w:footnote w:type="continuationSeparator" w:id="0">
    <w:p w14:paraId="3102AFAF" w14:textId="77777777" w:rsidR="00A30182" w:rsidRDefault="00A30182" w:rsidP="009E3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87B4" w14:textId="77777777" w:rsidR="00813677" w:rsidRDefault="00813677" w:rsidP="00F62874">
    <w:pPr>
      <w:pStyle w:val="Footer"/>
      <w:jc w:val="both"/>
      <w:rPr>
        <w:rFonts w:ascii="Book Antiqua" w:hAnsi="Book Antiqua"/>
        <w:i/>
        <w:iCs/>
      </w:rPr>
    </w:pPr>
  </w:p>
  <w:p w14:paraId="144EE50D" w14:textId="77777777" w:rsidR="00813677" w:rsidRPr="00373509" w:rsidRDefault="005D62AD" w:rsidP="00471F60">
    <w:pPr>
      <w:pStyle w:val="Footer"/>
      <w:jc w:val="both"/>
      <w:rPr>
        <w:rFonts w:asciiTheme="majorBidi" w:hAnsiTheme="majorBidi" w:cstheme="majorBidi"/>
        <w:b/>
        <w:bCs/>
        <w:i/>
        <w:iCs/>
      </w:rPr>
    </w:pPr>
    <w:r>
      <w:rPr>
        <w:rFonts w:asciiTheme="majorBidi" w:hAnsiTheme="majorBidi" w:cstheme="majorBidi"/>
        <w:b/>
        <w:bCs/>
        <w:i/>
        <w:iCs/>
      </w:rPr>
      <w:t>Research Title</w:t>
    </w:r>
  </w:p>
  <w:p w14:paraId="31B5E357" w14:textId="77777777" w:rsidR="00813677" w:rsidRPr="007B1A08" w:rsidRDefault="00813677"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2D34" w14:textId="77777777" w:rsidR="00813677" w:rsidRDefault="00813677" w:rsidP="00AA7648">
    <w:pPr>
      <w:ind w:right="969"/>
      <w:jc w:val="both"/>
      <w:rPr>
        <w:rFonts w:ascii="Book Antiqua" w:hAnsi="Book Antiqua"/>
        <w:i/>
        <w:iCs/>
      </w:rPr>
    </w:pPr>
  </w:p>
  <w:p w14:paraId="382E0872" w14:textId="11B42AC3" w:rsidR="00813677" w:rsidRPr="00471F60" w:rsidRDefault="006D4E44" w:rsidP="00AA7648">
    <w:pPr>
      <w:ind w:right="969"/>
      <w:jc w:val="both"/>
      <w:rPr>
        <w:rFonts w:asciiTheme="majorBidi" w:hAnsiTheme="majorBidi" w:cstheme="majorBidi"/>
        <w:b/>
        <w:bCs/>
      </w:rPr>
    </w:pPr>
    <w:r w:rsidRPr="006D4E44">
      <w:rPr>
        <w:rFonts w:asciiTheme="majorBidi" w:hAnsiTheme="majorBidi" w:cstheme="majorBidi"/>
        <w:b/>
        <w:bCs/>
        <w:i/>
        <w:iCs/>
      </w:rPr>
      <w:t>Legal Accountability Of Doctors In Conducting Virtual Health Services (Telemedicine)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8527" w14:textId="77777777" w:rsidR="00813677" w:rsidRDefault="005D62AD" w:rsidP="00712731">
    <w:pPr>
      <w:ind w:right="98"/>
      <w:jc w:val="right"/>
    </w:pPr>
    <w:r>
      <w:rPr>
        <w:noProof/>
      </w:rPr>
      <w:drawing>
        <wp:anchor distT="0" distB="0" distL="114300" distR="114300" simplePos="0" relativeHeight="251659264" behindDoc="1" locked="0" layoutInCell="1" allowOverlap="1" wp14:anchorId="757D282A" wp14:editId="5D7ABB2F">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t xml:space="preserve">P-ISSN: </w:t>
    </w:r>
    <w:r w:rsidRPr="00377069">
      <w:tab/>
      <w:t xml:space="preserve">2827-9832 </w:t>
    </w:r>
  </w:p>
  <w:p w14:paraId="2800FD8A" w14:textId="77777777" w:rsidR="00813677" w:rsidRDefault="005D62AD" w:rsidP="00712731">
    <w:pPr>
      <w:ind w:right="98"/>
      <w:jc w:val="right"/>
    </w:pPr>
    <w:r w:rsidRPr="00377069">
      <w:t>E-ISSN: 2828-335x</w:t>
    </w:r>
  </w:p>
  <w:p w14:paraId="490B5ED7" w14:textId="77777777" w:rsidR="00813677" w:rsidRPr="009135C5" w:rsidRDefault="005D62AD" w:rsidP="00712731">
    <w:pPr>
      <w:ind w:right="98"/>
      <w:jc w:val="right"/>
    </w:pPr>
    <w:r w:rsidRPr="00377069">
      <w:t>http://ijsr.internationaljournallabs.com/index.php/ijsr</w:t>
    </w:r>
  </w:p>
  <w:p w14:paraId="5442316D" w14:textId="77777777" w:rsidR="00813677" w:rsidRDefault="00813677"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044"/>
    <w:multiLevelType w:val="hybridMultilevel"/>
    <w:tmpl w:val="C1BCE3C6"/>
    <w:lvl w:ilvl="0" w:tplc="B7D2A210">
      <w:start w:val="1"/>
      <w:numFmt w:val="decimal"/>
      <w:lvlText w:val="%1."/>
      <w:lvlJc w:val="left"/>
      <w:pPr>
        <w:ind w:left="933" w:hanging="3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 w15:restartNumberingAfterBreak="0">
    <w:nsid w:val="05802739"/>
    <w:multiLevelType w:val="hybridMultilevel"/>
    <w:tmpl w:val="A41EA5DE"/>
    <w:lvl w:ilvl="0" w:tplc="E88A81C8">
      <w:start w:val="1"/>
      <w:numFmt w:val="decimal"/>
      <w:lvlText w:val="%1."/>
      <w:lvlJc w:val="left"/>
      <w:pPr>
        <w:ind w:left="1447" w:hanging="880"/>
      </w:pPr>
      <w:rPr>
        <w:rFonts w:hint="default"/>
      </w:rPr>
    </w:lvl>
    <w:lvl w:ilvl="1" w:tplc="D55CE360">
      <w:start w:val="1"/>
      <w:numFmt w:val="upp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A0F22C3"/>
    <w:multiLevelType w:val="hybridMultilevel"/>
    <w:tmpl w:val="B2D2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20380"/>
    <w:multiLevelType w:val="hybridMultilevel"/>
    <w:tmpl w:val="7BEECB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B02C4"/>
    <w:multiLevelType w:val="hybridMultilevel"/>
    <w:tmpl w:val="63DEBE0C"/>
    <w:lvl w:ilvl="0" w:tplc="E90882DA">
      <w:start w:val="1"/>
      <w:numFmt w:val="decimal"/>
      <w:lvlText w:val="%1."/>
      <w:lvlJc w:val="left"/>
      <w:pPr>
        <w:ind w:left="1431" w:hanging="58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37D5D9B"/>
    <w:multiLevelType w:val="hybridMultilevel"/>
    <w:tmpl w:val="88B652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64C111B"/>
    <w:multiLevelType w:val="hybridMultilevel"/>
    <w:tmpl w:val="B85660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F5FCC"/>
    <w:multiLevelType w:val="hybridMultilevel"/>
    <w:tmpl w:val="A56224D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B512B26"/>
    <w:multiLevelType w:val="hybridMultilevel"/>
    <w:tmpl w:val="B2C6E8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F5D4F"/>
    <w:multiLevelType w:val="hybridMultilevel"/>
    <w:tmpl w:val="36805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EF0878"/>
    <w:multiLevelType w:val="hybridMultilevel"/>
    <w:tmpl w:val="C4FEED66"/>
    <w:lvl w:ilvl="0" w:tplc="809EA884">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EFC564F"/>
    <w:multiLevelType w:val="hybridMultilevel"/>
    <w:tmpl w:val="BA585A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2CC723C"/>
    <w:multiLevelType w:val="hybridMultilevel"/>
    <w:tmpl w:val="5734BB1C"/>
    <w:lvl w:ilvl="0" w:tplc="92EE20C6">
      <w:start w:val="1"/>
      <w:numFmt w:val="decimal"/>
      <w:lvlText w:val="%1."/>
      <w:lvlJc w:val="left"/>
      <w:pPr>
        <w:ind w:left="2062"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4855242F"/>
    <w:multiLevelType w:val="hybridMultilevel"/>
    <w:tmpl w:val="A7E213EE"/>
    <w:lvl w:ilvl="0" w:tplc="A90CA6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1E35B1"/>
    <w:multiLevelType w:val="hybridMultilevel"/>
    <w:tmpl w:val="59E626CC"/>
    <w:lvl w:ilvl="0" w:tplc="463E1672">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53E67226"/>
    <w:multiLevelType w:val="hybridMultilevel"/>
    <w:tmpl w:val="5B927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1F5D98"/>
    <w:multiLevelType w:val="hybridMultilevel"/>
    <w:tmpl w:val="552001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600E2"/>
    <w:multiLevelType w:val="hybridMultilevel"/>
    <w:tmpl w:val="D640FCE2"/>
    <w:lvl w:ilvl="0" w:tplc="403455EC">
      <w:start w:val="1"/>
      <w:numFmt w:val="decimal"/>
      <w:lvlText w:val="%1."/>
      <w:lvlJc w:val="left"/>
      <w:pPr>
        <w:ind w:left="1433" w:hanging="860"/>
      </w:pPr>
      <w:rPr>
        <w:rFonts w:hint="default"/>
      </w:rPr>
    </w:lvl>
    <w:lvl w:ilvl="1" w:tplc="08090019" w:tentative="1">
      <w:start w:val="1"/>
      <w:numFmt w:val="lowerLetter"/>
      <w:lvlText w:val="%2."/>
      <w:lvlJc w:val="left"/>
      <w:pPr>
        <w:ind w:left="1653" w:hanging="360"/>
      </w:pPr>
    </w:lvl>
    <w:lvl w:ilvl="2" w:tplc="0809001B" w:tentative="1">
      <w:start w:val="1"/>
      <w:numFmt w:val="lowerRoman"/>
      <w:lvlText w:val="%3."/>
      <w:lvlJc w:val="right"/>
      <w:pPr>
        <w:ind w:left="2373" w:hanging="180"/>
      </w:pPr>
    </w:lvl>
    <w:lvl w:ilvl="3" w:tplc="0809000F" w:tentative="1">
      <w:start w:val="1"/>
      <w:numFmt w:val="decimal"/>
      <w:lvlText w:val="%4."/>
      <w:lvlJc w:val="left"/>
      <w:pPr>
        <w:ind w:left="3093" w:hanging="360"/>
      </w:pPr>
    </w:lvl>
    <w:lvl w:ilvl="4" w:tplc="08090019" w:tentative="1">
      <w:start w:val="1"/>
      <w:numFmt w:val="lowerLetter"/>
      <w:lvlText w:val="%5."/>
      <w:lvlJc w:val="left"/>
      <w:pPr>
        <w:ind w:left="3813" w:hanging="360"/>
      </w:pPr>
    </w:lvl>
    <w:lvl w:ilvl="5" w:tplc="0809001B" w:tentative="1">
      <w:start w:val="1"/>
      <w:numFmt w:val="lowerRoman"/>
      <w:lvlText w:val="%6."/>
      <w:lvlJc w:val="right"/>
      <w:pPr>
        <w:ind w:left="4533" w:hanging="180"/>
      </w:pPr>
    </w:lvl>
    <w:lvl w:ilvl="6" w:tplc="0809000F" w:tentative="1">
      <w:start w:val="1"/>
      <w:numFmt w:val="decimal"/>
      <w:lvlText w:val="%7."/>
      <w:lvlJc w:val="left"/>
      <w:pPr>
        <w:ind w:left="5253" w:hanging="360"/>
      </w:pPr>
    </w:lvl>
    <w:lvl w:ilvl="7" w:tplc="08090019" w:tentative="1">
      <w:start w:val="1"/>
      <w:numFmt w:val="lowerLetter"/>
      <w:lvlText w:val="%8."/>
      <w:lvlJc w:val="left"/>
      <w:pPr>
        <w:ind w:left="5973" w:hanging="360"/>
      </w:pPr>
    </w:lvl>
    <w:lvl w:ilvl="8" w:tplc="0809001B" w:tentative="1">
      <w:start w:val="1"/>
      <w:numFmt w:val="lowerRoman"/>
      <w:lvlText w:val="%9."/>
      <w:lvlJc w:val="right"/>
      <w:pPr>
        <w:ind w:left="6693" w:hanging="180"/>
      </w:pPr>
    </w:lvl>
  </w:abstractNum>
  <w:abstractNum w:abstractNumId="18" w15:restartNumberingAfterBreak="0">
    <w:nsid w:val="5F592478"/>
    <w:multiLevelType w:val="hybridMultilevel"/>
    <w:tmpl w:val="6CDEE09A"/>
    <w:lvl w:ilvl="0" w:tplc="809EA884">
      <w:start w:val="1"/>
      <w:numFmt w:val="decimal"/>
      <w:lvlText w:val="%1."/>
      <w:lvlJc w:val="left"/>
      <w:pPr>
        <w:ind w:left="724" w:hanging="44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2220B9A"/>
    <w:multiLevelType w:val="hybridMultilevel"/>
    <w:tmpl w:val="A1A2353C"/>
    <w:lvl w:ilvl="0" w:tplc="E88A81C8">
      <w:start w:val="1"/>
      <w:numFmt w:val="decimal"/>
      <w:lvlText w:val="%1."/>
      <w:lvlJc w:val="left"/>
      <w:pPr>
        <w:ind w:left="1447"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75041E"/>
    <w:multiLevelType w:val="hybridMultilevel"/>
    <w:tmpl w:val="E144AAE2"/>
    <w:lvl w:ilvl="0" w:tplc="86C2626C">
      <w:start w:val="1"/>
      <w:numFmt w:val="decimal"/>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69AC3103"/>
    <w:multiLevelType w:val="hybridMultilevel"/>
    <w:tmpl w:val="AC966FBC"/>
    <w:lvl w:ilvl="0" w:tplc="C37CE830">
      <w:start w:val="1"/>
      <w:numFmt w:val="upperLetter"/>
      <w:lvlText w:val="%1."/>
      <w:lvlJc w:val="left"/>
      <w:pPr>
        <w:ind w:left="1447" w:hanging="88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01C3C2C"/>
    <w:multiLevelType w:val="hybridMultilevel"/>
    <w:tmpl w:val="CF90587E"/>
    <w:lvl w:ilvl="0" w:tplc="92EE20C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7A380A90"/>
    <w:multiLevelType w:val="hybridMultilevel"/>
    <w:tmpl w:val="CF6CDE9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486044127">
    <w:abstractNumId w:val="11"/>
  </w:num>
  <w:num w:numId="2" w16cid:durableId="1041319411">
    <w:abstractNumId w:val="18"/>
  </w:num>
  <w:num w:numId="3" w16cid:durableId="90853556">
    <w:abstractNumId w:val="10"/>
  </w:num>
  <w:num w:numId="4" w16cid:durableId="512653182">
    <w:abstractNumId w:val="21"/>
  </w:num>
  <w:num w:numId="5" w16cid:durableId="1663314763">
    <w:abstractNumId w:val="17"/>
  </w:num>
  <w:num w:numId="6" w16cid:durableId="363362376">
    <w:abstractNumId w:val="15"/>
  </w:num>
  <w:num w:numId="7" w16cid:durableId="1609654965">
    <w:abstractNumId w:val="23"/>
  </w:num>
  <w:num w:numId="8" w16cid:durableId="157384687">
    <w:abstractNumId w:val="20"/>
  </w:num>
  <w:num w:numId="9" w16cid:durableId="1631013500">
    <w:abstractNumId w:val="22"/>
  </w:num>
  <w:num w:numId="10" w16cid:durableId="1711955147">
    <w:abstractNumId w:val="12"/>
  </w:num>
  <w:num w:numId="11" w16cid:durableId="1299532474">
    <w:abstractNumId w:val="4"/>
  </w:num>
  <w:num w:numId="12" w16cid:durableId="1671324305">
    <w:abstractNumId w:val="9"/>
  </w:num>
  <w:num w:numId="13" w16cid:durableId="1396320962">
    <w:abstractNumId w:val="7"/>
  </w:num>
  <w:num w:numId="14" w16cid:durableId="250822310">
    <w:abstractNumId w:val="14"/>
  </w:num>
  <w:num w:numId="15" w16cid:durableId="1483502834">
    <w:abstractNumId w:val="3"/>
  </w:num>
  <w:num w:numId="16" w16cid:durableId="1523476774">
    <w:abstractNumId w:val="16"/>
  </w:num>
  <w:num w:numId="17" w16cid:durableId="315570483">
    <w:abstractNumId w:val="5"/>
  </w:num>
  <w:num w:numId="18" w16cid:durableId="160660081">
    <w:abstractNumId w:val="2"/>
  </w:num>
  <w:num w:numId="19" w16cid:durableId="1664117942">
    <w:abstractNumId w:val="13"/>
  </w:num>
  <w:num w:numId="20" w16cid:durableId="5598451">
    <w:abstractNumId w:val="1"/>
  </w:num>
  <w:num w:numId="21" w16cid:durableId="999694416">
    <w:abstractNumId w:val="19"/>
  </w:num>
  <w:num w:numId="22" w16cid:durableId="1095057887">
    <w:abstractNumId w:val="0"/>
  </w:num>
  <w:num w:numId="23" w16cid:durableId="2027317794">
    <w:abstractNumId w:val="6"/>
  </w:num>
  <w:num w:numId="24" w16cid:durableId="607350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2F"/>
    <w:rsid w:val="00060841"/>
    <w:rsid w:val="001571C4"/>
    <w:rsid w:val="00177883"/>
    <w:rsid w:val="00196BF0"/>
    <w:rsid w:val="00203751"/>
    <w:rsid w:val="00282266"/>
    <w:rsid w:val="002C16A4"/>
    <w:rsid w:val="0031791C"/>
    <w:rsid w:val="0032112F"/>
    <w:rsid w:val="00360642"/>
    <w:rsid w:val="00362D6D"/>
    <w:rsid w:val="00394202"/>
    <w:rsid w:val="003A4550"/>
    <w:rsid w:val="003B45FA"/>
    <w:rsid w:val="00427F76"/>
    <w:rsid w:val="0043593A"/>
    <w:rsid w:val="0049427A"/>
    <w:rsid w:val="004D479A"/>
    <w:rsid w:val="004E043B"/>
    <w:rsid w:val="004F0C97"/>
    <w:rsid w:val="0053748F"/>
    <w:rsid w:val="00545994"/>
    <w:rsid w:val="005868D1"/>
    <w:rsid w:val="005A2331"/>
    <w:rsid w:val="005B175E"/>
    <w:rsid w:val="005B258B"/>
    <w:rsid w:val="005D5454"/>
    <w:rsid w:val="005D62AD"/>
    <w:rsid w:val="00646510"/>
    <w:rsid w:val="00666A9C"/>
    <w:rsid w:val="00682B2C"/>
    <w:rsid w:val="006C66EA"/>
    <w:rsid w:val="006D4E44"/>
    <w:rsid w:val="006D7D87"/>
    <w:rsid w:val="00780326"/>
    <w:rsid w:val="00795902"/>
    <w:rsid w:val="007C4092"/>
    <w:rsid w:val="00813677"/>
    <w:rsid w:val="008A5A41"/>
    <w:rsid w:val="008D41B3"/>
    <w:rsid w:val="0091167A"/>
    <w:rsid w:val="00984EB4"/>
    <w:rsid w:val="009D516D"/>
    <w:rsid w:val="009E322F"/>
    <w:rsid w:val="00A15D14"/>
    <w:rsid w:val="00A30182"/>
    <w:rsid w:val="00A90865"/>
    <w:rsid w:val="00AC4795"/>
    <w:rsid w:val="00B45CFF"/>
    <w:rsid w:val="00B877B2"/>
    <w:rsid w:val="00B95210"/>
    <w:rsid w:val="00BD0D4E"/>
    <w:rsid w:val="00BF4DA7"/>
    <w:rsid w:val="00C0584C"/>
    <w:rsid w:val="00C30359"/>
    <w:rsid w:val="00C54A1F"/>
    <w:rsid w:val="00C762D1"/>
    <w:rsid w:val="00C777E6"/>
    <w:rsid w:val="00C8745B"/>
    <w:rsid w:val="00CA0A42"/>
    <w:rsid w:val="00CB50FE"/>
    <w:rsid w:val="00D0427F"/>
    <w:rsid w:val="00D1377E"/>
    <w:rsid w:val="00D14FD8"/>
    <w:rsid w:val="00DD600A"/>
    <w:rsid w:val="00DE57D1"/>
    <w:rsid w:val="00DE6B01"/>
    <w:rsid w:val="00E87985"/>
    <w:rsid w:val="00EC6E20"/>
    <w:rsid w:val="00F35BD4"/>
    <w:rsid w:val="00F66949"/>
    <w:rsid w:val="00F80C3D"/>
    <w:rsid w:val="00F949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271C62"/>
  <w15:chartTrackingRefBased/>
  <w15:docId w15:val="{A74F5B51-E319-4C82-910D-A8F725CF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2F"/>
    <w:pPr>
      <w:spacing w:after="0" w:line="240" w:lineRule="auto"/>
      <w:jc w:val="center"/>
    </w:pPr>
    <w:rPr>
      <w:rFonts w:ascii="Times New Roman" w:eastAsia="SimSu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322F"/>
    <w:pPr>
      <w:spacing w:line="360" w:lineRule="auto"/>
      <w:ind w:firstLine="289"/>
      <w:jc w:val="both"/>
    </w:pPr>
    <w:rPr>
      <w:spacing w:val="-1"/>
    </w:rPr>
  </w:style>
  <w:style w:type="character" w:customStyle="1" w:styleId="BodyTextChar">
    <w:name w:val="Body Text Char"/>
    <w:basedOn w:val="DefaultParagraphFont"/>
    <w:link w:val="BodyText"/>
    <w:rsid w:val="009E322F"/>
    <w:rPr>
      <w:rFonts w:ascii="Times New Roman" w:eastAsia="SimSun" w:hAnsi="Times New Roman" w:cs="Times New Roman"/>
      <w:spacing w:val="-1"/>
      <w:kern w:val="0"/>
      <w:sz w:val="20"/>
      <w:szCs w:val="20"/>
      <w:lang w:val="en-US"/>
      <w14:ligatures w14:val="none"/>
    </w:rPr>
  </w:style>
  <w:style w:type="paragraph" w:styleId="Footer">
    <w:name w:val="footer"/>
    <w:basedOn w:val="Normal"/>
    <w:link w:val="FooterChar"/>
    <w:uiPriority w:val="99"/>
    <w:rsid w:val="009E322F"/>
    <w:pPr>
      <w:tabs>
        <w:tab w:val="center" w:pos="4513"/>
        <w:tab w:val="right" w:pos="9026"/>
      </w:tabs>
    </w:pPr>
  </w:style>
  <w:style w:type="character" w:customStyle="1" w:styleId="FooterChar">
    <w:name w:val="Footer Char"/>
    <w:basedOn w:val="DefaultParagraphFont"/>
    <w:link w:val="Footer"/>
    <w:uiPriority w:val="99"/>
    <w:rsid w:val="009E322F"/>
    <w:rPr>
      <w:rFonts w:ascii="Times New Roman" w:eastAsia="SimSun" w:hAnsi="Times New Roman" w:cs="Times New Roman"/>
      <w:kern w:val="0"/>
      <w:sz w:val="20"/>
      <w:szCs w:val="20"/>
      <w:lang w:val="en-US"/>
      <w14:ligatures w14:val="none"/>
    </w:rPr>
  </w:style>
  <w:style w:type="paragraph" w:customStyle="1" w:styleId="Stylepapertitle14pt">
    <w:name w:val="Style paper title + 14 pt"/>
    <w:basedOn w:val="Normal"/>
    <w:rsid w:val="009E322F"/>
    <w:pPr>
      <w:spacing w:after="120"/>
    </w:pPr>
    <w:rPr>
      <w:rFonts w:eastAsia="MS Mincho"/>
      <w:noProof/>
      <w:sz w:val="24"/>
      <w:szCs w:val="48"/>
    </w:rPr>
  </w:style>
  <w:style w:type="paragraph" w:customStyle="1" w:styleId="StyleAuthorBold">
    <w:name w:val="Style Author + Bold"/>
    <w:basedOn w:val="Normal"/>
    <w:rsid w:val="009E322F"/>
    <w:pPr>
      <w:spacing w:before="240" w:after="40"/>
    </w:pPr>
    <w:rPr>
      <w:b/>
      <w:bCs/>
      <w:noProof/>
      <w:sz w:val="22"/>
      <w:szCs w:val="22"/>
    </w:rPr>
  </w:style>
  <w:style w:type="paragraph" w:customStyle="1" w:styleId="Afiliasi">
    <w:name w:val="Afiliasi"/>
    <w:basedOn w:val="Normal"/>
    <w:qFormat/>
    <w:rsid w:val="009E322F"/>
    <w:pPr>
      <w:spacing w:before="40" w:after="40"/>
      <w:contextualSpacing/>
    </w:pPr>
    <w:rPr>
      <w:noProof/>
      <w:lang w:val="id-ID"/>
    </w:rPr>
  </w:style>
  <w:style w:type="paragraph" w:customStyle="1" w:styleId="abstrak">
    <w:name w:val="abstrak"/>
    <w:basedOn w:val="BodyText"/>
    <w:qFormat/>
    <w:rsid w:val="009E322F"/>
    <w:pPr>
      <w:spacing w:line="240" w:lineRule="auto"/>
      <w:ind w:left="567" w:right="567" w:firstLine="0"/>
    </w:pPr>
    <w:rPr>
      <w:szCs w:val="24"/>
    </w:rPr>
  </w:style>
  <w:style w:type="character" w:styleId="Hyperlink">
    <w:name w:val="Hyperlink"/>
    <w:basedOn w:val="DefaultParagraphFont"/>
    <w:uiPriority w:val="99"/>
    <w:unhideWhenUsed/>
    <w:rsid w:val="009E322F"/>
    <w:rPr>
      <w:color w:val="0563C1" w:themeColor="hyperlink"/>
      <w:u w:val="single"/>
    </w:rPr>
  </w:style>
  <w:style w:type="table" w:styleId="TableGrid">
    <w:name w:val="Table Grid"/>
    <w:basedOn w:val="TableNormal"/>
    <w:uiPriority w:val="59"/>
    <w:rsid w:val="009E322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B50FE"/>
    <w:pPr>
      <w:spacing w:after="200" w:line="276" w:lineRule="auto"/>
      <w:ind w:left="720"/>
      <w:contextualSpacing/>
      <w:jc w:val="left"/>
    </w:pPr>
    <w:rPr>
      <w:rFonts w:eastAsia="Calibri" w:cs="Arial"/>
      <w:sz w:val="24"/>
      <w:szCs w:val="22"/>
    </w:rPr>
  </w:style>
  <w:style w:type="character" w:customStyle="1" w:styleId="ListParagraphChar">
    <w:name w:val="List Paragraph Char"/>
    <w:link w:val="ListParagraph"/>
    <w:uiPriority w:val="34"/>
    <w:locked/>
    <w:rsid w:val="00CB50FE"/>
    <w:rPr>
      <w:rFonts w:ascii="Times New Roman" w:eastAsia="Calibri" w:hAnsi="Times New Roman" w:cs="Arial"/>
      <w:kern w:val="0"/>
      <w:sz w:val="24"/>
      <w:lang w:val="en-US"/>
      <w14:ligatures w14:val="none"/>
    </w:rPr>
  </w:style>
  <w:style w:type="character" w:styleId="UnresolvedMention">
    <w:name w:val="Unresolved Mention"/>
    <w:basedOn w:val="DefaultParagraphFont"/>
    <w:uiPriority w:val="99"/>
    <w:semiHidden/>
    <w:unhideWhenUsed/>
    <w:rsid w:val="00CB50FE"/>
    <w:rPr>
      <w:color w:val="605E5C"/>
      <w:shd w:val="clear" w:color="auto" w:fill="E1DFDD"/>
    </w:rPr>
  </w:style>
  <w:style w:type="character" w:customStyle="1" w:styleId="highlight">
    <w:name w:val="highlight"/>
    <w:basedOn w:val="DefaultParagraphFont"/>
    <w:rsid w:val="00C777E6"/>
  </w:style>
  <w:style w:type="character" w:customStyle="1" w:styleId="hgkelc">
    <w:name w:val="hgkelc"/>
    <w:basedOn w:val="DefaultParagraphFont"/>
    <w:rsid w:val="00F66949"/>
  </w:style>
  <w:style w:type="table" w:styleId="TableGridLight">
    <w:name w:val="Grid Table Light"/>
    <w:basedOn w:val="TableNormal"/>
    <w:uiPriority w:val="40"/>
    <w:rsid w:val="00196B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8D41B3"/>
    <w:pPr>
      <w:widowControl w:val="0"/>
      <w:autoSpaceDE w:val="0"/>
      <w:autoSpaceDN w:val="0"/>
      <w:jc w:val="left"/>
    </w:pPr>
    <w:rPr>
      <w:rFonts w:ascii="Arial MT" w:eastAsia="Arial MT" w:hAnsi="Arial MT" w:cs="Arial MT"/>
      <w:sz w:val="22"/>
      <w:szCs w:val="22"/>
    </w:rPr>
  </w:style>
  <w:style w:type="character" w:customStyle="1" w:styleId="apple-converted-space">
    <w:name w:val="apple-converted-space"/>
    <w:basedOn w:val="DefaultParagraphFont"/>
    <w:rsid w:val="00A15D14"/>
  </w:style>
  <w:style w:type="character" w:styleId="Emphasis">
    <w:name w:val="Emphasis"/>
    <w:basedOn w:val="DefaultParagraphFont"/>
    <w:uiPriority w:val="20"/>
    <w:qFormat/>
    <w:rsid w:val="00A15D14"/>
    <w:rPr>
      <w:i/>
      <w:iCs/>
    </w:rPr>
  </w:style>
  <w:style w:type="paragraph" w:styleId="NormalWeb">
    <w:name w:val="Normal (Web)"/>
    <w:basedOn w:val="Normal"/>
    <w:uiPriority w:val="99"/>
    <w:unhideWhenUsed/>
    <w:rsid w:val="00A15D14"/>
    <w:pPr>
      <w:spacing w:before="100" w:beforeAutospacing="1" w:after="100" w:afterAutospacing="1"/>
      <w:jc w:val="left"/>
    </w:pPr>
    <w:rPr>
      <w:rFonts w:eastAsia="Times New Roman"/>
      <w:sz w:val="24"/>
      <w:szCs w:val="24"/>
      <w:lang w:val="en-ID"/>
    </w:rPr>
  </w:style>
  <w:style w:type="paragraph" w:styleId="HTMLPreformatted">
    <w:name w:val="HTML Preformatted"/>
    <w:basedOn w:val="Normal"/>
    <w:link w:val="HTMLPreformattedChar"/>
    <w:uiPriority w:val="99"/>
    <w:unhideWhenUsed/>
    <w:rsid w:val="00B95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95210"/>
    <w:rPr>
      <w:rFonts w:ascii="Courier New" w:eastAsia="Times New Roman" w:hAnsi="Courier New" w:cs="Courier New"/>
      <w:kern w:val="0"/>
      <w:sz w:val="20"/>
      <w:szCs w:val="20"/>
      <w:lang w:val="en-US"/>
      <w14:ligatures w14:val="none"/>
    </w:rPr>
  </w:style>
  <w:style w:type="character" w:styleId="PlaceholderText">
    <w:name w:val="Placeholder Text"/>
    <w:basedOn w:val="DefaultParagraphFont"/>
    <w:uiPriority w:val="99"/>
    <w:semiHidden/>
    <w:rsid w:val="005D54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B55D7-C0D7-6D4F-ADCB-294DE607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Pages>
  <Words>4075</Words>
  <Characters>23234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 Milla</dc:creator>
  <cp:keywords/>
  <dc:description/>
  <cp:lastModifiedBy>Microsoft Office User</cp:lastModifiedBy>
  <cp:revision>3</cp:revision>
  <dcterms:created xsi:type="dcterms:W3CDTF">2023-12-12T03:05:00Z</dcterms:created>
  <dcterms:modified xsi:type="dcterms:W3CDTF">2024-07-22T02:57:00Z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6082d768-ad0d-450b-a65b-96da246bde7f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839f2dc0-58f3-3fff-b79b-7845d7aa6076</vt:lpwstr>
  </property>
  <property fmtid="{D5CDD505-2E9C-101B-9397-08002B2CF9AE}" pid="25" name="Mendeley Citation Style_1">
    <vt:lpwstr>http://www.zotero.org/styles/apa</vt:lpwstr>
  </property>
</Properties>
</file>