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D332" w14:textId="77777777" w:rsidR="00FE0C4E" w:rsidRPr="00FE0C4E" w:rsidRDefault="00FE0C4E" w:rsidP="00FE0C4E">
      <w:pPr>
        <w:pStyle w:val="Afiliasi"/>
        <w:rPr>
          <w:rFonts w:eastAsia="MS Mincho"/>
          <w:b/>
          <w:bCs/>
          <w:iCs/>
          <w:sz w:val="28"/>
          <w:szCs w:val="28"/>
          <w:lang w:val="en-ID"/>
        </w:rPr>
      </w:pPr>
      <w:r w:rsidRPr="00FE0C4E">
        <w:rPr>
          <w:rFonts w:eastAsia="MS Mincho"/>
          <w:b/>
          <w:bCs/>
          <w:iCs/>
          <w:sz w:val="28"/>
          <w:szCs w:val="28"/>
          <w:lang w:val="en-ID"/>
        </w:rPr>
        <w:t>Reconstruction of Law in Enhancing Human Resources of the Police to Realize an Integrated Criminal Justice System</w:t>
      </w:r>
    </w:p>
    <w:p w14:paraId="18DEBAA1" w14:textId="77777777" w:rsidR="00C405F9" w:rsidRPr="003214E8" w:rsidRDefault="00C405F9" w:rsidP="00C405F9">
      <w:pPr>
        <w:pStyle w:val="Afiliasi"/>
        <w:spacing w:before="0" w:after="0"/>
        <w:rPr>
          <w:rFonts w:eastAsia="Times New Roman"/>
          <w:b/>
          <w:sz w:val="24"/>
          <w:szCs w:val="24"/>
          <w:lang w:val="en-ID"/>
        </w:rPr>
      </w:pPr>
    </w:p>
    <w:p w14:paraId="549C8AD1" w14:textId="77777777" w:rsidR="00FE0C4E" w:rsidRPr="00FE0C4E" w:rsidRDefault="00FE0C4E" w:rsidP="00FE0C4E">
      <w:pPr>
        <w:pStyle w:val="Afiliasi"/>
        <w:rPr>
          <w:rFonts w:eastAsia="Times New Roman"/>
          <w:b/>
          <w:iCs/>
          <w:sz w:val="24"/>
          <w:szCs w:val="24"/>
          <w:lang w:val="sk-SK"/>
        </w:rPr>
      </w:pPr>
      <w:bookmarkStart w:id="0" w:name="_Hlk181797511"/>
      <w:r w:rsidRPr="00FE0C4E">
        <w:rPr>
          <w:rFonts w:eastAsia="Times New Roman"/>
          <w:b/>
          <w:iCs/>
          <w:sz w:val="24"/>
          <w:szCs w:val="24"/>
          <w:lang w:val="sk-SK"/>
        </w:rPr>
        <w:t>Cepi Noval</w:t>
      </w:r>
      <w:r w:rsidRPr="00FE0C4E">
        <w:rPr>
          <w:rFonts w:eastAsia="Times New Roman"/>
          <w:b/>
          <w:iCs/>
          <w:sz w:val="24"/>
          <w:szCs w:val="24"/>
          <w:vertAlign w:val="superscript"/>
          <w:lang w:val="sk-SK"/>
        </w:rPr>
        <w:t>1</w:t>
      </w:r>
      <w:r w:rsidRPr="00FE0C4E">
        <w:rPr>
          <w:rFonts w:eastAsia="Times New Roman"/>
          <w:b/>
          <w:iCs/>
          <w:sz w:val="24"/>
          <w:szCs w:val="24"/>
          <w:lang w:val="sk-SK"/>
        </w:rPr>
        <w:t>, Ade Saptomo</w:t>
      </w:r>
      <w:r w:rsidRPr="00FE0C4E">
        <w:rPr>
          <w:rFonts w:eastAsia="Times New Roman"/>
          <w:b/>
          <w:iCs/>
          <w:sz w:val="24"/>
          <w:szCs w:val="24"/>
          <w:vertAlign w:val="superscript"/>
          <w:lang w:val="sk-SK"/>
        </w:rPr>
        <w:t>2</w:t>
      </w:r>
    </w:p>
    <w:bookmarkEnd w:id="0"/>
    <w:p w14:paraId="59312285" w14:textId="77777777" w:rsidR="003214E8" w:rsidRPr="00E20928" w:rsidRDefault="003214E8" w:rsidP="003214E8">
      <w:pPr>
        <w:pStyle w:val="Afiliasi"/>
        <w:rPr>
          <w:rFonts w:eastAsia="Times New Roman"/>
          <w:i/>
          <w:iCs/>
          <w:vertAlign w:val="superscript"/>
          <w:lang w:val="en-US"/>
        </w:rPr>
      </w:pPr>
      <w:r w:rsidRPr="00E20928">
        <w:rPr>
          <w:rFonts w:eastAsia="Times New Roman"/>
          <w:i/>
          <w:iCs/>
          <w:lang w:val="en-US"/>
        </w:rPr>
        <w:t>Universitas Borobudur, Indonesia</w:t>
      </w:r>
      <w:r w:rsidRPr="00E20928">
        <w:rPr>
          <w:rFonts w:eastAsia="Times New Roman"/>
          <w:i/>
          <w:iCs/>
          <w:vertAlign w:val="superscript"/>
          <w:lang w:val="en-US"/>
        </w:rPr>
        <w:t>1,2</w:t>
      </w:r>
    </w:p>
    <w:p w14:paraId="726C7B4C" w14:textId="77777777" w:rsidR="00FE0C4E" w:rsidRPr="00FE0C4E" w:rsidRDefault="00FE0C4E" w:rsidP="00FE0C4E">
      <w:pPr>
        <w:rPr>
          <w:lang w:val="sk-SK"/>
        </w:rPr>
      </w:pPr>
      <w:r w:rsidRPr="00FE0C4E">
        <w:rPr>
          <w:iCs/>
          <w:lang w:val="sk-SK"/>
        </w:rPr>
        <w:t>noval54cepi49@gmail.com</w:t>
      </w:r>
      <w:r w:rsidRPr="00FE0C4E">
        <w:rPr>
          <w:iCs/>
          <w:vertAlign w:val="superscript"/>
          <w:lang w:val="sk-SK"/>
        </w:rPr>
        <w:t>1</w:t>
      </w:r>
      <w:r w:rsidRPr="00FE0C4E">
        <w:rPr>
          <w:iCs/>
          <w:lang w:val="sk-SK"/>
        </w:rPr>
        <w:t xml:space="preserve">, </w:t>
      </w:r>
      <w:hyperlink r:id="rId8" w:history="1">
        <w:r w:rsidRPr="00FE0C4E">
          <w:rPr>
            <w:rStyle w:val="Hyperlink"/>
            <w:iCs/>
            <w:lang w:val="sk-SK"/>
          </w:rPr>
          <w:t>adesaptomo@borobudur.ac.id</w:t>
        </w:r>
        <w:r w:rsidRPr="00FE0C4E">
          <w:rPr>
            <w:rStyle w:val="Hyperlink"/>
            <w:iCs/>
            <w:vertAlign w:val="superscript"/>
            <w:lang w:val="sk-SK"/>
          </w:rPr>
          <w:t>2</w:t>
        </w:r>
      </w:hyperlink>
    </w:p>
    <w:p w14:paraId="02BD68F5" w14:textId="77777777" w:rsidR="00E20928" w:rsidRPr="00FE0C4E" w:rsidRDefault="00E20928" w:rsidP="00E20928">
      <w:pPr>
        <w:rPr>
          <w:i/>
          <w:iCs/>
          <w:lang w:val="sk-SK"/>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623E6691" w:rsidR="00705C62" w:rsidRPr="000010EA" w:rsidRDefault="00FE0C4E" w:rsidP="00FE0C4E">
            <w:pPr>
              <w:jc w:val="both"/>
              <w:rPr>
                <w:i/>
                <w:iCs/>
                <w:lang w:val="en-US"/>
              </w:rPr>
            </w:pPr>
            <w:r w:rsidRPr="00FE0C4E">
              <w:rPr>
                <w:rFonts w:eastAsia="Times New Roman"/>
                <w:bCs/>
                <w:i/>
                <w:iCs/>
                <w:lang w:val="en-US"/>
              </w:rPr>
              <w:t>This research discusses the importance of improving the quality of education for Human Resources (HR) in the Indonesian National Police (</w:t>
            </w:r>
            <w:proofErr w:type="spellStart"/>
            <w:r w:rsidRPr="00FE0C4E">
              <w:rPr>
                <w:rFonts w:eastAsia="Times New Roman"/>
                <w:bCs/>
                <w:i/>
                <w:iCs/>
                <w:lang w:val="en-US"/>
              </w:rPr>
              <w:t>Polri</w:t>
            </w:r>
            <w:proofErr w:type="spellEnd"/>
            <w:r w:rsidRPr="00FE0C4E">
              <w:rPr>
                <w:rFonts w:eastAsia="Times New Roman"/>
                <w:bCs/>
                <w:i/>
                <w:iCs/>
                <w:lang w:val="en-US"/>
              </w:rPr>
              <w:t xml:space="preserve">) to achieve effective and just law enforcement within the context of an integrated criminal justice system. Focusing on curriculum improvement, development of practice-based training methods, and the integration of </w:t>
            </w:r>
            <w:proofErr w:type="spellStart"/>
            <w:r w:rsidRPr="00FE0C4E">
              <w:rPr>
                <w:rFonts w:eastAsia="Times New Roman"/>
                <w:bCs/>
                <w:i/>
                <w:iCs/>
                <w:lang w:val="en-US"/>
              </w:rPr>
              <w:t>Polri</w:t>
            </w:r>
            <w:proofErr w:type="spellEnd"/>
            <w:r w:rsidRPr="00FE0C4E">
              <w:rPr>
                <w:rFonts w:eastAsia="Times New Roman"/>
                <w:bCs/>
                <w:i/>
                <w:iCs/>
                <w:lang w:val="en-US"/>
              </w:rPr>
              <w:t xml:space="preserve"> HR education with other actors in the criminal justice system, this study identifies strategies that can enhance the professionalism and ethics of police members. The research also analyzes the impact of improved HR education on the effectiveness of law enforcement as well as public trust in the criminal justice system. The results indicate that collaboration and harmonization among law enforcement agencies, along with strict enforcement of ethical codes, are key steps in building the integrity of </w:t>
            </w:r>
            <w:proofErr w:type="spellStart"/>
            <w:r w:rsidRPr="00FE0C4E">
              <w:rPr>
                <w:rFonts w:eastAsia="Times New Roman"/>
                <w:bCs/>
                <w:i/>
                <w:iCs/>
                <w:lang w:val="en-US"/>
              </w:rPr>
              <w:t>Polri</w:t>
            </w:r>
            <w:proofErr w:type="spellEnd"/>
            <w:r w:rsidRPr="00FE0C4E">
              <w:rPr>
                <w:rFonts w:eastAsia="Times New Roman"/>
                <w:bCs/>
                <w:i/>
                <w:iCs/>
                <w:lang w:val="en-US"/>
              </w:rPr>
              <w:t xml:space="preserve"> and creating a more democratic and trustworthy justice system.</w:t>
            </w:r>
          </w:p>
        </w:tc>
      </w:tr>
      <w:tr w:rsidR="00E91491" w14:paraId="68AFA08D" w14:textId="77777777" w:rsidTr="00712731">
        <w:trPr>
          <w:trHeight w:val="478"/>
        </w:trPr>
        <w:tc>
          <w:tcPr>
            <w:tcW w:w="8926" w:type="dxa"/>
          </w:tcPr>
          <w:p w14:paraId="72C6406E" w14:textId="5C6CD94F" w:rsidR="00E91491" w:rsidRPr="00FE0C4E" w:rsidRDefault="00E91491" w:rsidP="00FE0C4E">
            <w:pPr>
              <w:pStyle w:val="abstrak"/>
              <w:spacing w:before="120"/>
              <w:ind w:left="164"/>
              <w:rPr>
                <w:bCs/>
                <w:i/>
                <w:iCs/>
                <w:lang w:val="sk-SK"/>
              </w:rPr>
            </w:pPr>
            <w:r w:rsidRPr="00AF1EDC">
              <w:rPr>
                <w:b/>
                <w:i/>
                <w:iCs/>
                <w:szCs w:val="20"/>
              </w:rPr>
              <w:t xml:space="preserve">Keywords: </w:t>
            </w:r>
            <w:r w:rsidR="00FE0C4E" w:rsidRPr="00FE0C4E">
              <w:rPr>
                <w:bCs/>
                <w:i/>
                <w:iCs/>
                <w:lang w:val="en-US"/>
              </w:rPr>
              <w:t xml:space="preserve">Human Resources Education, </w:t>
            </w:r>
            <w:proofErr w:type="spellStart"/>
            <w:r w:rsidR="00FE0C4E" w:rsidRPr="00FE0C4E">
              <w:rPr>
                <w:bCs/>
                <w:i/>
                <w:iCs/>
                <w:lang w:val="en-US"/>
              </w:rPr>
              <w:t>Polri</w:t>
            </w:r>
            <w:proofErr w:type="spellEnd"/>
            <w:r w:rsidR="00FE0C4E" w:rsidRPr="00FE0C4E">
              <w:rPr>
                <w:bCs/>
                <w:i/>
                <w:iCs/>
                <w:lang w:val="en-US"/>
              </w:rPr>
              <w:t>, Law Enforcement, Criminal Justice System</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9"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2D008D6D"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rPr>
        <w:t>The police play a crucial role in the criminal justice system, serving as the frontline in law enforcement and community protection. As a law enforcement agency, the police are responsible for maintaining security and order, preventing crime, and prosecuting legal violations.</w:t>
      </w:r>
      <w:sdt>
        <w:sdtPr>
          <w:rPr>
            <w:bCs/>
            <w:spacing w:val="-1"/>
            <w:sz w:val="24"/>
            <w:szCs w:val="24"/>
            <w:lang w:val="en-ID"/>
          </w:rPr>
          <w:id w:val="-1508745925"/>
          <w:citation/>
        </w:sdtPr>
        <w:sdtContent>
          <w:r w:rsidRPr="00FE0C4E">
            <w:rPr>
              <w:bCs/>
              <w:spacing w:val="-1"/>
              <w:sz w:val="24"/>
              <w:szCs w:val="24"/>
              <w:lang w:val="en-ID"/>
            </w:rPr>
            <w:fldChar w:fldCharType="begin"/>
          </w:r>
          <w:r w:rsidRPr="00FE0C4E">
            <w:rPr>
              <w:bCs/>
              <w:spacing w:val="-1"/>
              <w:sz w:val="24"/>
              <w:szCs w:val="24"/>
              <w:lang w:val="en-GB"/>
            </w:rPr>
            <w:instrText xml:space="preserve"> CITATION Abd071 \l 2057 </w:instrText>
          </w:r>
          <w:r w:rsidRPr="00FE0C4E">
            <w:rPr>
              <w:bCs/>
              <w:spacing w:val="-1"/>
              <w:sz w:val="24"/>
              <w:szCs w:val="24"/>
              <w:lang w:val="en-ID"/>
            </w:rPr>
            <w:fldChar w:fldCharType="separate"/>
          </w:r>
          <w:r w:rsidRPr="00FE0C4E">
            <w:rPr>
              <w:bCs/>
              <w:spacing w:val="-1"/>
              <w:sz w:val="24"/>
              <w:szCs w:val="24"/>
              <w:lang w:val="en-GB"/>
            </w:rPr>
            <w:t xml:space="preserve"> [1]</w:t>
          </w:r>
          <w:r w:rsidRPr="00FE0C4E">
            <w:rPr>
              <w:spacing w:val="-1"/>
              <w:sz w:val="24"/>
              <w:szCs w:val="24"/>
            </w:rPr>
            <w:fldChar w:fldCharType="end"/>
          </w:r>
        </w:sdtContent>
      </w:sdt>
      <w:r w:rsidRPr="00FE0C4E">
        <w:rPr>
          <w:bCs/>
          <w:spacing w:val="-1"/>
          <w:sz w:val="24"/>
          <w:szCs w:val="24"/>
          <w:lang w:val="en-ID"/>
        </w:rPr>
        <w:t xml:space="preserve"> With such an important task, the police not only play a role in the arrest of criminals but also in gathering evidence, conducting investigations, and providing necessary information for the judicial process. In this regard, the quality and professionalism of human resources in the police force are crucial determinants of their effectiveness in carrying out these duties.</w:t>
      </w:r>
    </w:p>
    <w:p w14:paraId="093E4812"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One fundamental aspect of the police's role in the criminal justice system is their ability to build public trust. When the community sees the police acting in a professional, transparent, and accountable manner, that trust will grow. This public trust becomes the foundation for the success of the police in carrying out their functions.</w:t>
      </w:r>
      <w:sdt>
        <w:sdtPr>
          <w:rPr>
            <w:bCs/>
            <w:spacing w:val="-1"/>
            <w:sz w:val="24"/>
            <w:szCs w:val="24"/>
            <w:lang w:val="en-ID"/>
          </w:rPr>
          <w:id w:val="1399409024"/>
          <w:citation/>
        </w:sdtPr>
        <w:sdtContent>
          <w:r w:rsidRPr="00FE0C4E">
            <w:rPr>
              <w:bCs/>
              <w:spacing w:val="-1"/>
              <w:sz w:val="24"/>
              <w:szCs w:val="24"/>
              <w:lang w:val="en-ID"/>
            </w:rPr>
            <w:fldChar w:fldCharType="begin"/>
          </w:r>
          <w:r w:rsidRPr="00FE0C4E">
            <w:rPr>
              <w:bCs/>
              <w:spacing w:val="-1"/>
              <w:sz w:val="24"/>
              <w:szCs w:val="24"/>
              <w:lang w:val="en-GB"/>
            </w:rPr>
            <w:instrText xml:space="preserve"> CITATION Amr14 \l 2057 </w:instrText>
          </w:r>
          <w:r w:rsidRPr="00FE0C4E">
            <w:rPr>
              <w:bCs/>
              <w:spacing w:val="-1"/>
              <w:sz w:val="24"/>
              <w:szCs w:val="24"/>
              <w:lang w:val="en-ID"/>
            </w:rPr>
            <w:fldChar w:fldCharType="separate"/>
          </w:r>
          <w:r w:rsidRPr="00FE0C4E">
            <w:rPr>
              <w:bCs/>
              <w:spacing w:val="-1"/>
              <w:sz w:val="24"/>
              <w:szCs w:val="24"/>
              <w:lang w:val="en-GB"/>
            </w:rPr>
            <w:t xml:space="preserve"> [2]</w:t>
          </w:r>
          <w:r w:rsidRPr="00FE0C4E">
            <w:rPr>
              <w:spacing w:val="-1"/>
              <w:sz w:val="24"/>
              <w:szCs w:val="24"/>
            </w:rPr>
            <w:fldChar w:fldCharType="end"/>
          </w:r>
        </w:sdtContent>
      </w:sdt>
      <w:r w:rsidRPr="00FE0C4E">
        <w:rPr>
          <w:bCs/>
          <w:spacing w:val="-1"/>
          <w:sz w:val="24"/>
          <w:szCs w:val="24"/>
          <w:lang w:val="en-ID"/>
        </w:rPr>
        <w:t xml:space="preserve"> On the other hand, if the police fail to carry out their duties, it can lead to public dissatisfaction, which may result in a decrease in the legitimacy and effectiveness of the legal institution as a whole. Therefore, the police not only need to possess technical skills in investigation and law enforcement but also must be equipped with a deep understanding of ethical values and human rights.</w:t>
      </w:r>
    </w:p>
    <w:p w14:paraId="355F9A3B"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The police also serve as a bridge between the community and the broader criminal justice system.</w:t>
      </w:r>
      <w:sdt>
        <w:sdtPr>
          <w:rPr>
            <w:bCs/>
            <w:spacing w:val="-1"/>
            <w:sz w:val="24"/>
            <w:szCs w:val="24"/>
            <w:lang w:val="en-ID"/>
          </w:rPr>
          <w:id w:val="1245998927"/>
          <w:citation/>
        </w:sdtPr>
        <w:sdtContent>
          <w:r w:rsidRPr="00FE0C4E">
            <w:rPr>
              <w:bCs/>
              <w:spacing w:val="-1"/>
              <w:sz w:val="24"/>
              <w:szCs w:val="24"/>
              <w:lang w:val="en-ID"/>
            </w:rPr>
            <w:fldChar w:fldCharType="begin"/>
          </w:r>
          <w:r w:rsidRPr="00FE0C4E">
            <w:rPr>
              <w:bCs/>
              <w:spacing w:val="-1"/>
              <w:sz w:val="24"/>
              <w:szCs w:val="24"/>
              <w:lang w:val="en-GB"/>
            </w:rPr>
            <w:instrText xml:space="preserve"> CITATION Mul09 \l 2057 </w:instrText>
          </w:r>
          <w:r w:rsidRPr="00FE0C4E">
            <w:rPr>
              <w:bCs/>
              <w:spacing w:val="-1"/>
              <w:sz w:val="24"/>
              <w:szCs w:val="24"/>
              <w:lang w:val="en-ID"/>
            </w:rPr>
            <w:fldChar w:fldCharType="separate"/>
          </w:r>
          <w:r w:rsidRPr="00FE0C4E">
            <w:rPr>
              <w:bCs/>
              <w:spacing w:val="-1"/>
              <w:sz w:val="24"/>
              <w:szCs w:val="24"/>
              <w:lang w:val="en-GB"/>
            </w:rPr>
            <w:t xml:space="preserve"> [3]</w:t>
          </w:r>
          <w:r w:rsidRPr="00FE0C4E">
            <w:rPr>
              <w:spacing w:val="-1"/>
              <w:sz w:val="24"/>
              <w:szCs w:val="24"/>
            </w:rPr>
            <w:fldChar w:fldCharType="end"/>
          </w:r>
        </w:sdtContent>
      </w:sdt>
      <w:r w:rsidRPr="00FE0C4E">
        <w:rPr>
          <w:bCs/>
          <w:spacing w:val="-1"/>
          <w:sz w:val="24"/>
          <w:szCs w:val="24"/>
          <w:lang w:val="en-ID"/>
        </w:rPr>
        <w:t xml:space="preserve"> In many cases, crime victims rely on the police to respond to their reports and guide them through the appropriate legal channels. Thus, the police serve as a crucial link between the community and other judicial institutions, such as the prosecution and the courts. The success of the criminal justice process heavily depends on how well the police </w:t>
      </w:r>
      <w:proofErr w:type="spellStart"/>
      <w:r w:rsidRPr="00FE0C4E">
        <w:rPr>
          <w:bCs/>
          <w:spacing w:val="-1"/>
          <w:sz w:val="24"/>
          <w:szCs w:val="24"/>
          <w:lang w:val="en-ID"/>
        </w:rPr>
        <w:t>fulfill</w:t>
      </w:r>
      <w:proofErr w:type="spellEnd"/>
      <w:r w:rsidRPr="00FE0C4E">
        <w:rPr>
          <w:bCs/>
          <w:spacing w:val="-1"/>
          <w:sz w:val="24"/>
          <w:szCs w:val="24"/>
          <w:lang w:val="en-ID"/>
        </w:rPr>
        <w:t xml:space="preserve"> this role. If the police can manage these relationships effectively, they will contribute to creating a more integrated and responsive criminal justice system that meets the needs of the community.</w:t>
      </w:r>
      <w:sdt>
        <w:sdtPr>
          <w:rPr>
            <w:bCs/>
            <w:spacing w:val="-1"/>
            <w:sz w:val="24"/>
            <w:szCs w:val="24"/>
            <w:lang w:val="en-ID"/>
          </w:rPr>
          <w:id w:val="506174600"/>
          <w:citation/>
        </w:sdtPr>
        <w:sdtContent>
          <w:r w:rsidRPr="00FE0C4E">
            <w:rPr>
              <w:bCs/>
              <w:spacing w:val="-1"/>
              <w:sz w:val="24"/>
              <w:szCs w:val="24"/>
              <w:lang w:val="en-ID"/>
            </w:rPr>
            <w:fldChar w:fldCharType="begin"/>
          </w:r>
          <w:r w:rsidRPr="00FE0C4E">
            <w:rPr>
              <w:bCs/>
              <w:spacing w:val="-1"/>
              <w:sz w:val="24"/>
              <w:szCs w:val="24"/>
              <w:lang w:val="en-GB"/>
            </w:rPr>
            <w:instrText xml:space="preserve"> CITATION IKe18 \l 2057 </w:instrText>
          </w:r>
          <w:r w:rsidRPr="00FE0C4E">
            <w:rPr>
              <w:bCs/>
              <w:spacing w:val="-1"/>
              <w:sz w:val="24"/>
              <w:szCs w:val="24"/>
              <w:lang w:val="en-ID"/>
            </w:rPr>
            <w:fldChar w:fldCharType="separate"/>
          </w:r>
          <w:r w:rsidRPr="00FE0C4E">
            <w:rPr>
              <w:bCs/>
              <w:spacing w:val="-1"/>
              <w:sz w:val="24"/>
              <w:szCs w:val="24"/>
              <w:lang w:val="en-GB"/>
            </w:rPr>
            <w:t xml:space="preserve"> [4]</w:t>
          </w:r>
          <w:r w:rsidRPr="00FE0C4E">
            <w:rPr>
              <w:spacing w:val="-1"/>
              <w:sz w:val="24"/>
              <w:szCs w:val="24"/>
            </w:rPr>
            <w:fldChar w:fldCharType="end"/>
          </w:r>
        </w:sdtContent>
      </w:sdt>
    </w:p>
    <w:p w14:paraId="2FAC8C0C"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lastRenderedPageBreak/>
        <w:t>The police institution is governed by Article 30, paragraph (4) of the 1945 Constitution of the Republic of Indonesia, which states that the Indonesian National Police is a state apparatus assigned to maintain public security and order. The duties of the police include protecting, serving, and facilitating the community, as well as upholding the law.</w:t>
      </w:r>
      <w:sdt>
        <w:sdtPr>
          <w:rPr>
            <w:bCs/>
            <w:spacing w:val="-1"/>
            <w:sz w:val="24"/>
            <w:szCs w:val="24"/>
            <w:lang w:val="en-ID"/>
          </w:rPr>
          <w:id w:val="-617682379"/>
          <w:citation/>
        </w:sdtPr>
        <w:sdtContent>
          <w:r w:rsidRPr="00FE0C4E">
            <w:rPr>
              <w:bCs/>
              <w:spacing w:val="-1"/>
              <w:sz w:val="24"/>
              <w:szCs w:val="24"/>
              <w:lang w:val="en-ID"/>
            </w:rPr>
            <w:fldChar w:fldCharType="begin"/>
          </w:r>
          <w:r w:rsidRPr="00FE0C4E">
            <w:rPr>
              <w:bCs/>
              <w:spacing w:val="-1"/>
              <w:sz w:val="24"/>
              <w:szCs w:val="24"/>
              <w:lang w:val="en-GB"/>
            </w:rPr>
            <w:instrText xml:space="preserve"> CITATION Sad17 \l 2057 </w:instrText>
          </w:r>
          <w:r w:rsidRPr="00FE0C4E">
            <w:rPr>
              <w:bCs/>
              <w:spacing w:val="-1"/>
              <w:sz w:val="24"/>
              <w:szCs w:val="24"/>
              <w:lang w:val="en-ID"/>
            </w:rPr>
            <w:fldChar w:fldCharType="separate"/>
          </w:r>
          <w:r w:rsidRPr="00FE0C4E">
            <w:rPr>
              <w:bCs/>
              <w:spacing w:val="-1"/>
              <w:sz w:val="24"/>
              <w:szCs w:val="24"/>
              <w:lang w:val="en-GB"/>
            </w:rPr>
            <w:t xml:space="preserve"> [5]</w:t>
          </w:r>
          <w:r w:rsidRPr="00FE0C4E">
            <w:rPr>
              <w:spacing w:val="-1"/>
              <w:sz w:val="24"/>
              <w:szCs w:val="24"/>
            </w:rPr>
            <w:fldChar w:fldCharType="end"/>
          </w:r>
        </w:sdtContent>
      </w:sdt>
      <w:r w:rsidRPr="00FE0C4E">
        <w:rPr>
          <w:bCs/>
          <w:spacing w:val="-1"/>
          <w:sz w:val="24"/>
          <w:szCs w:val="24"/>
          <w:lang w:val="en-ID"/>
        </w:rPr>
        <w:t xml:space="preserve"> With this position, the police become a key </w:t>
      </w:r>
      <w:proofErr w:type="spellStart"/>
      <w:r w:rsidRPr="00FE0C4E">
        <w:rPr>
          <w:bCs/>
          <w:spacing w:val="-1"/>
          <w:sz w:val="24"/>
          <w:szCs w:val="24"/>
          <w:lang w:val="en-ID"/>
        </w:rPr>
        <w:t>actor</w:t>
      </w:r>
      <w:proofErr w:type="spellEnd"/>
      <w:r w:rsidRPr="00FE0C4E">
        <w:rPr>
          <w:bCs/>
          <w:spacing w:val="-1"/>
          <w:sz w:val="24"/>
          <w:szCs w:val="24"/>
          <w:lang w:val="en-ID"/>
        </w:rPr>
        <w:t xml:space="preserve"> in law enforcement in Indonesia. In carrying out their functions, it is expected that the police not only focus on the formal aspects of the law, such as meeting the elements of a crime, but also consider aspects of justice and benefits for the community. However, there are often gaps in the application of the law, especially when it involves officials or the upper class. This condition leads to the perception that the law is often stringent for the lower class but lenient for the upper class, creating a paradox in law enforcement.</w:t>
      </w:r>
      <w:sdt>
        <w:sdtPr>
          <w:rPr>
            <w:bCs/>
            <w:spacing w:val="-1"/>
            <w:sz w:val="24"/>
            <w:szCs w:val="24"/>
            <w:lang w:val="en-ID"/>
          </w:rPr>
          <w:id w:val="-474909429"/>
          <w:citation/>
        </w:sdtPr>
        <w:sdtContent>
          <w:r w:rsidRPr="00FE0C4E">
            <w:rPr>
              <w:bCs/>
              <w:spacing w:val="-1"/>
              <w:sz w:val="24"/>
              <w:szCs w:val="24"/>
              <w:lang w:val="en-ID"/>
            </w:rPr>
            <w:fldChar w:fldCharType="begin"/>
          </w:r>
          <w:r w:rsidRPr="00FE0C4E">
            <w:rPr>
              <w:bCs/>
              <w:spacing w:val="-1"/>
              <w:sz w:val="24"/>
              <w:szCs w:val="24"/>
              <w:lang w:val="en-GB"/>
            </w:rPr>
            <w:instrText xml:space="preserve"> CITATION Sad10 \l 2057 </w:instrText>
          </w:r>
          <w:r w:rsidRPr="00FE0C4E">
            <w:rPr>
              <w:bCs/>
              <w:spacing w:val="-1"/>
              <w:sz w:val="24"/>
              <w:szCs w:val="24"/>
              <w:lang w:val="en-ID"/>
            </w:rPr>
            <w:fldChar w:fldCharType="separate"/>
          </w:r>
          <w:r w:rsidRPr="00FE0C4E">
            <w:rPr>
              <w:bCs/>
              <w:spacing w:val="-1"/>
              <w:sz w:val="24"/>
              <w:szCs w:val="24"/>
              <w:lang w:val="en-GB"/>
            </w:rPr>
            <w:t xml:space="preserve"> [6]</w:t>
          </w:r>
          <w:r w:rsidRPr="00FE0C4E">
            <w:rPr>
              <w:spacing w:val="-1"/>
              <w:sz w:val="24"/>
              <w:szCs w:val="24"/>
            </w:rPr>
            <w:fldChar w:fldCharType="end"/>
          </w:r>
        </w:sdtContent>
      </w:sdt>
    </w:p>
    <w:p w14:paraId="09856E32"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 xml:space="preserve">This condition is relevant to contemporary debates regarding the formation of laws that tend to </w:t>
      </w:r>
      <w:proofErr w:type="spellStart"/>
      <w:r w:rsidRPr="00FE0C4E">
        <w:rPr>
          <w:bCs/>
          <w:spacing w:val="-1"/>
          <w:sz w:val="24"/>
          <w:szCs w:val="24"/>
          <w:lang w:val="en-ID"/>
        </w:rPr>
        <w:t>favor</w:t>
      </w:r>
      <w:proofErr w:type="spellEnd"/>
      <w:r w:rsidRPr="00FE0C4E">
        <w:rPr>
          <w:bCs/>
          <w:spacing w:val="-1"/>
          <w:sz w:val="24"/>
          <w:szCs w:val="24"/>
          <w:lang w:val="en-ID"/>
        </w:rPr>
        <w:t xml:space="preserve"> the elite rather than the broader community. From a Marxist perspective, the law is viewed as a tool designed not to protect the interests of </w:t>
      </w:r>
      <w:proofErr w:type="gramStart"/>
      <w:r w:rsidRPr="00FE0C4E">
        <w:rPr>
          <w:bCs/>
          <w:spacing w:val="-1"/>
          <w:sz w:val="24"/>
          <w:szCs w:val="24"/>
          <w:lang w:val="en-ID"/>
        </w:rPr>
        <w:t>society as a whole, but</w:t>
      </w:r>
      <w:proofErr w:type="gramEnd"/>
      <w:r w:rsidRPr="00FE0C4E">
        <w:rPr>
          <w:bCs/>
          <w:spacing w:val="-1"/>
          <w:sz w:val="24"/>
          <w:szCs w:val="24"/>
          <w:lang w:val="en-ID"/>
        </w:rPr>
        <w:t xml:space="preserve"> to safeguard the interests of elite groups in business and to maintain power. If existing laws are seen merely as products of legislation without considering the social values that exist within the community, then law enforcement is likely to </w:t>
      </w:r>
      <w:proofErr w:type="spellStart"/>
      <w:r w:rsidRPr="00FE0C4E">
        <w:rPr>
          <w:bCs/>
          <w:spacing w:val="-1"/>
          <w:sz w:val="24"/>
          <w:szCs w:val="24"/>
          <w:lang w:val="en-ID"/>
        </w:rPr>
        <w:t>favor</w:t>
      </w:r>
      <w:proofErr w:type="spellEnd"/>
      <w:r w:rsidRPr="00FE0C4E">
        <w:rPr>
          <w:bCs/>
          <w:spacing w:val="-1"/>
          <w:sz w:val="24"/>
          <w:szCs w:val="24"/>
          <w:lang w:val="en-ID"/>
        </w:rPr>
        <w:t xml:space="preserve"> elite interests rather than those of the people. This clearly hinders the achievement of the ideal legal objectives, which is justice.</w:t>
      </w:r>
    </w:p>
    <w:p w14:paraId="5EE132BA"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One important factor that affects the quality of law enforcement is the competency of law enforcers, including the police. As the primary institution interacting with the community, the police play a crucial role in creating legal certainty, justice, and utility.</w:t>
      </w:r>
      <w:sdt>
        <w:sdtPr>
          <w:rPr>
            <w:bCs/>
            <w:spacing w:val="-1"/>
            <w:sz w:val="24"/>
            <w:szCs w:val="24"/>
            <w:lang w:val="en-ID"/>
          </w:rPr>
          <w:id w:val="1317224667"/>
          <w:citation/>
        </w:sdtPr>
        <w:sdtContent>
          <w:r w:rsidRPr="00FE0C4E">
            <w:rPr>
              <w:bCs/>
              <w:spacing w:val="-1"/>
              <w:sz w:val="24"/>
              <w:szCs w:val="24"/>
              <w:lang w:val="en-ID"/>
            </w:rPr>
            <w:fldChar w:fldCharType="begin"/>
          </w:r>
          <w:r w:rsidRPr="00FE0C4E">
            <w:rPr>
              <w:bCs/>
              <w:spacing w:val="-1"/>
              <w:sz w:val="24"/>
              <w:szCs w:val="24"/>
              <w:lang w:val="en-GB"/>
            </w:rPr>
            <w:instrText xml:space="preserve"> CITATION Bam09 \l 2057 </w:instrText>
          </w:r>
          <w:r w:rsidRPr="00FE0C4E">
            <w:rPr>
              <w:bCs/>
              <w:spacing w:val="-1"/>
              <w:sz w:val="24"/>
              <w:szCs w:val="24"/>
              <w:lang w:val="en-ID"/>
            </w:rPr>
            <w:fldChar w:fldCharType="separate"/>
          </w:r>
          <w:r w:rsidRPr="00FE0C4E">
            <w:rPr>
              <w:bCs/>
              <w:spacing w:val="-1"/>
              <w:sz w:val="24"/>
              <w:szCs w:val="24"/>
              <w:lang w:val="en-GB"/>
            </w:rPr>
            <w:t xml:space="preserve"> [7]</w:t>
          </w:r>
          <w:r w:rsidRPr="00FE0C4E">
            <w:rPr>
              <w:spacing w:val="-1"/>
              <w:sz w:val="24"/>
              <w:szCs w:val="24"/>
            </w:rPr>
            <w:fldChar w:fldCharType="end"/>
          </w:r>
        </w:sdtContent>
      </w:sdt>
      <w:r w:rsidRPr="00FE0C4E">
        <w:rPr>
          <w:bCs/>
          <w:spacing w:val="-1"/>
          <w:sz w:val="24"/>
          <w:szCs w:val="24"/>
          <w:lang w:val="en-ID"/>
        </w:rPr>
        <w:t xml:space="preserve"> However, the competence of police officers is often inadequate, which can lead to corruption. Therefore, in addition to focusing on welfare, it is also necessary to strengthen the work competencies of police members. This includes enhancing professionalism, which must be evaluated so that they can perform their duties more effectively and responsibly.</w:t>
      </w:r>
      <w:sdt>
        <w:sdtPr>
          <w:rPr>
            <w:bCs/>
            <w:spacing w:val="-1"/>
            <w:sz w:val="24"/>
            <w:szCs w:val="24"/>
            <w:lang w:val="en-ID"/>
          </w:rPr>
          <w:id w:val="-423492843"/>
          <w:citation/>
        </w:sdtPr>
        <w:sdtContent>
          <w:r w:rsidRPr="00FE0C4E">
            <w:rPr>
              <w:bCs/>
              <w:spacing w:val="-1"/>
              <w:sz w:val="24"/>
              <w:szCs w:val="24"/>
              <w:lang w:val="en-ID"/>
            </w:rPr>
            <w:fldChar w:fldCharType="begin"/>
          </w:r>
          <w:r w:rsidRPr="00FE0C4E">
            <w:rPr>
              <w:bCs/>
              <w:spacing w:val="-1"/>
              <w:sz w:val="24"/>
              <w:szCs w:val="24"/>
              <w:lang w:val="en-GB"/>
            </w:rPr>
            <w:instrText xml:space="preserve"> CITATION Yoy13 \l 2057 </w:instrText>
          </w:r>
          <w:r w:rsidRPr="00FE0C4E">
            <w:rPr>
              <w:bCs/>
              <w:spacing w:val="-1"/>
              <w:sz w:val="24"/>
              <w:szCs w:val="24"/>
              <w:lang w:val="en-ID"/>
            </w:rPr>
            <w:fldChar w:fldCharType="separate"/>
          </w:r>
          <w:r w:rsidRPr="00FE0C4E">
            <w:rPr>
              <w:bCs/>
              <w:spacing w:val="-1"/>
              <w:sz w:val="24"/>
              <w:szCs w:val="24"/>
              <w:lang w:val="en-GB"/>
            </w:rPr>
            <w:t xml:space="preserve"> [8]</w:t>
          </w:r>
          <w:r w:rsidRPr="00FE0C4E">
            <w:rPr>
              <w:spacing w:val="-1"/>
              <w:sz w:val="24"/>
              <w:szCs w:val="24"/>
            </w:rPr>
            <w:fldChar w:fldCharType="end"/>
          </w:r>
        </w:sdtContent>
      </w:sdt>
    </w:p>
    <w:p w14:paraId="0063FD1D"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Education is a crucial aspect in enhancing police competency. Good education can provide the knowledge and skills necessary to carry out policing duties. However, there are currently many challenges faced in efforts to improve police professionalism. One of the main obstacles is the lack of adequate mastery of policing and managerial techniques. Low levels of education affect managerial capabilities, which are essential for making sound decisions in complex situations. In addition, the recruitment process for police members also serves as a hindrance, as most new recruits come from limited educational backgrounds.</w:t>
      </w:r>
    </w:p>
    <w:p w14:paraId="16F1F876"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Alignment among various actors in the criminal justice system is also very important. Unlike prosecutorial and judicial institutions that share a legal education background, the police often face challenges in achieving that alignment due to the diversity in its members' education. Differences in understanding the law can lead to difficulties in collaboration among law enforcement officers. Therefore, synchronization of education and training among police members and other actors in the criminal justice system is essential. This will help create a common perception in law enforcement, from investigation to trial processes, thereby making law enforcement in Indonesia fairer and more democratic.</w:t>
      </w:r>
    </w:p>
    <w:p w14:paraId="5BD57FD0" w14:textId="77777777" w:rsidR="00FE0C4E" w:rsidRPr="00FE0C4E" w:rsidRDefault="00FE0C4E" w:rsidP="00FE0C4E">
      <w:pPr>
        <w:spacing w:line="276" w:lineRule="auto"/>
        <w:ind w:right="98" w:firstLine="567"/>
        <w:jc w:val="both"/>
        <w:rPr>
          <w:bCs/>
          <w:spacing w:val="-1"/>
          <w:sz w:val="24"/>
          <w:szCs w:val="24"/>
          <w:lang w:val="en-ID"/>
        </w:rPr>
      </w:pPr>
      <w:r w:rsidRPr="00FE0C4E">
        <w:rPr>
          <w:bCs/>
          <w:spacing w:val="-1"/>
          <w:sz w:val="24"/>
          <w:szCs w:val="24"/>
          <w:lang w:val="en-ID"/>
        </w:rPr>
        <w:t xml:space="preserve">Although the police play a significant role in the criminal justice system, there is currently no legal regulation specifically governing the management and enhancement of human resources (HR) within the police force, creating a significant gap in the national legal framework. Without clear and directed regulations, challenges in developing police HR, such </w:t>
      </w:r>
      <w:r w:rsidRPr="00FE0C4E">
        <w:rPr>
          <w:bCs/>
          <w:spacing w:val="-1"/>
          <w:sz w:val="24"/>
          <w:szCs w:val="24"/>
          <w:lang w:val="en-ID"/>
        </w:rPr>
        <w:lastRenderedPageBreak/>
        <w:t>as training, education, and competency standards, are difficult to address systematically, potentially resulting in uneven law enforcement quality and a decline in police professionalism. The urgency to undertake legal reconstruction in this context is pressing, as it will not only provide a strong legal foundation for HR management within the police but also create a system that supports capacity and professionalism enhancement among police members, enabling them to perform their functions and responsibilities more effectively. With a clear legal framework in place, the police can focus more on serving the community and enforcing the law fairly and effectively, thereby contributing to building public trust in law enforcement institutions in Indonesia.</w:t>
      </w:r>
    </w:p>
    <w:p w14:paraId="7CAB82B7" w14:textId="77777777" w:rsidR="006B34E5" w:rsidRPr="003214E8" w:rsidRDefault="006B34E5" w:rsidP="00471F60">
      <w:pPr>
        <w:spacing w:line="276" w:lineRule="auto"/>
        <w:ind w:right="98"/>
        <w:jc w:val="both"/>
        <w:rPr>
          <w:sz w:val="24"/>
          <w:szCs w:val="24"/>
          <w:lang w:val="en-ID"/>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rPr>
        <w:t>METHOD</w:t>
      </w:r>
    </w:p>
    <w:p w14:paraId="1F512E9A" w14:textId="77777777" w:rsidR="00FE0C4E" w:rsidRPr="00FE0C4E" w:rsidRDefault="00FE0C4E" w:rsidP="00FE0C4E">
      <w:pPr>
        <w:pStyle w:val="BodyText"/>
        <w:spacing w:line="276" w:lineRule="auto"/>
        <w:ind w:right="98" w:firstLine="567"/>
        <w:rPr>
          <w:bCs/>
          <w:iCs/>
          <w:sz w:val="24"/>
          <w:szCs w:val="24"/>
          <w:lang w:val="en-ID"/>
        </w:rPr>
      </w:pPr>
      <w:r w:rsidRPr="00FE0C4E">
        <w:rPr>
          <w:bCs/>
          <w:iCs/>
          <w:sz w:val="24"/>
          <w:szCs w:val="24"/>
          <w:lang w:val="en-ID"/>
        </w:rPr>
        <w:t xml:space="preserve">The normative juridical research method is an approach used in legal studies to </w:t>
      </w:r>
      <w:proofErr w:type="spellStart"/>
      <w:r w:rsidRPr="00FE0C4E">
        <w:rPr>
          <w:bCs/>
          <w:iCs/>
          <w:sz w:val="24"/>
          <w:szCs w:val="24"/>
          <w:lang w:val="en-ID"/>
        </w:rPr>
        <w:t>analyze</w:t>
      </w:r>
      <w:proofErr w:type="spellEnd"/>
      <w:r w:rsidRPr="00FE0C4E">
        <w:rPr>
          <w:bCs/>
          <w:iCs/>
          <w:sz w:val="24"/>
          <w:szCs w:val="24"/>
          <w:lang w:val="en-ID"/>
        </w:rPr>
        <w:t xml:space="preserve"> applicable legal norms and identify legal provisions relevant to the issues under investigation. In this research, a legislative approach is adopted to examine various regulations and laws related to human resources (HR) in the police force, as well as their roles and responsibilities within the criminal justice system. This approach involves the collection of secondary data from various legal sources, such as laws, government regulations, and other official policies that can provide insights into the existing legal framework. By using a legislative approach, researchers can identify existing legal gaps and formulate recommendations for the necessary legal reconstruction to improve HR management within the police institution.</w:t>
      </w:r>
    </w:p>
    <w:p w14:paraId="0875970D" w14:textId="77777777" w:rsidR="00FE0C4E" w:rsidRPr="00FE0C4E" w:rsidRDefault="00FE0C4E" w:rsidP="00FE0C4E">
      <w:pPr>
        <w:pStyle w:val="BodyText"/>
        <w:spacing w:line="276" w:lineRule="auto"/>
        <w:ind w:right="98" w:firstLine="567"/>
        <w:rPr>
          <w:bCs/>
          <w:iCs/>
          <w:sz w:val="24"/>
          <w:szCs w:val="24"/>
          <w:lang w:val="en-ID"/>
        </w:rPr>
      </w:pPr>
      <w:r w:rsidRPr="00FE0C4E">
        <w:rPr>
          <w:bCs/>
          <w:iCs/>
          <w:sz w:val="24"/>
          <w:szCs w:val="24"/>
          <w:lang w:val="en-ID"/>
        </w:rPr>
        <w:t xml:space="preserve">In addition, a conceptual approach is also applied in this research to explore and understand the foundational concepts underlying the functions and roles of the police in society, particularly in law enforcement and justice. This approach aids researchers in examining theories related to law enforcement, police professionalism, and the ethical values that should underpin police actions. By </w:t>
      </w:r>
      <w:proofErr w:type="spellStart"/>
      <w:r w:rsidRPr="00FE0C4E">
        <w:rPr>
          <w:bCs/>
          <w:iCs/>
          <w:sz w:val="24"/>
          <w:szCs w:val="24"/>
          <w:lang w:val="en-ID"/>
        </w:rPr>
        <w:t>analyzing</w:t>
      </w:r>
      <w:proofErr w:type="spellEnd"/>
      <w:r w:rsidRPr="00FE0C4E">
        <w:rPr>
          <w:bCs/>
          <w:iCs/>
          <w:sz w:val="24"/>
          <w:szCs w:val="24"/>
          <w:lang w:val="en-ID"/>
        </w:rPr>
        <w:t xml:space="preserve"> existing perspectives and definitions, researchers can formulate stronger arguments regarding the importance of legal reconstruction focused on enhancing police HR. The results of this conceptual approach are expected to provide a new perspective in the development of more comprehensive and responsive regulations that meet community needs, enabling the police to function optimally as effective protectors and law enforcers.</w:t>
      </w:r>
    </w:p>
    <w:p w14:paraId="76823BFD" w14:textId="77777777" w:rsidR="00377069" w:rsidRPr="003214E8" w:rsidRDefault="00377069" w:rsidP="00471F60">
      <w:pPr>
        <w:pStyle w:val="BodyText"/>
        <w:spacing w:line="276" w:lineRule="auto"/>
        <w:ind w:right="98" w:firstLine="0"/>
        <w:rPr>
          <w:b/>
          <w:sz w:val="24"/>
          <w:szCs w:val="24"/>
          <w:lang w:val="en-ID"/>
        </w:rPr>
      </w:pPr>
    </w:p>
    <w:p w14:paraId="356ED5A1" w14:textId="05CF2319" w:rsidR="00D60B6C" w:rsidRDefault="00AA7648" w:rsidP="00471F60">
      <w:pPr>
        <w:pStyle w:val="BodyText"/>
        <w:spacing w:line="276" w:lineRule="auto"/>
        <w:ind w:right="98" w:firstLine="0"/>
        <w:rPr>
          <w:b/>
          <w:sz w:val="24"/>
          <w:szCs w:val="24"/>
        </w:rPr>
      </w:pPr>
      <w:r w:rsidRPr="00AF1EDC">
        <w:rPr>
          <w:b/>
          <w:sz w:val="24"/>
          <w:szCs w:val="24"/>
        </w:rPr>
        <w:t>RESULTS AND DISCUSSION</w:t>
      </w:r>
    </w:p>
    <w:p w14:paraId="667A7F17" w14:textId="77777777" w:rsidR="00FE0C4E" w:rsidRPr="00FE0C4E" w:rsidRDefault="00FE0C4E" w:rsidP="00FE0C4E">
      <w:pPr>
        <w:spacing w:line="276" w:lineRule="auto"/>
        <w:jc w:val="both"/>
        <w:rPr>
          <w:rFonts w:asciiTheme="majorBidi" w:eastAsia="Calibri" w:hAnsiTheme="majorBidi" w:cstheme="majorBidi"/>
          <w:b/>
          <w:bCs/>
          <w:iCs/>
          <w:sz w:val="24"/>
          <w:szCs w:val="24"/>
        </w:rPr>
      </w:pPr>
      <w:r w:rsidRPr="00FE0C4E">
        <w:rPr>
          <w:rFonts w:asciiTheme="majorBidi" w:eastAsia="Calibri" w:hAnsiTheme="majorBidi" w:cstheme="majorBidi"/>
          <w:b/>
          <w:bCs/>
          <w:iCs/>
          <w:sz w:val="24"/>
          <w:szCs w:val="24"/>
        </w:rPr>
        <w:t>Legal Weaknesses in the Human Resources (HR) Education Pattern in the Indonesian National Police (</w:t>
      </w:r>
      <w:proofErr w:type="spellStart"/>
      <w:r w:rsidRPr="00FE0C4E">
        <w:rPr>
          <w:rFonts w:asciiTheme="majorBidi" w:eastAsia="Calibri" w:hAnsiTheme="majorBidi" w:cstheme="majorBidi"/>
          <w:b/>
          <w:bCs/>
          <w:iCs/>
          <w:sz w:val="24"/>
          <w:szCs w:val="24"/>
        </w:rPr>
        <w:t>Polri</w:t>
      </w:r>
      <w:proofErr w:type="spellEnd"/>
      <w:r w:rsidRPr="00FE0C4E">
        <w:rPr>
          <w:rFonts w:asciiTheme="majorBidi" w:eastAsia="Calibri" w:hAnsiTheme="majorBidi" w:cstheme="majorBidi"/>
          <w:b/>
          <w:bCs/>
          <w:iCs/>
          <w:sz w:val="24"/>
          <w:szCs w:val="24"/>
        </w:rPr>
        <w:t>) that Hinder Law Enforcement Effectiveness and Police Professionalism</w:t>
      </w:r>
    </w:p>
    <w:p w14:paraId="046A792A"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The educational pattern of the Indonesian National Police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comprises several different pathways and methods to produce high-quality human resources (HR) that meet the demands of police duties and responsibilities. The formal education pathway is structured and tiered, organized within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education system, starting from the Police Academy (SEKOLAH POLISI NEGARA, SPN) to graduate programs like the Staff and Leadership School (SESPIM). In this pathway, prospective police members receive fundamental education in policing sciences, law, and the technical skills needed to carry out their duties in the field. Additionally, there is a non-formal education pathway, which includes training and courses held within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environment, as well as educational assignments outside the police </w:t>
      </w:r>
      <w:r w:rsidRPr="00FE0C4E">
        <w:rPr>
          <w:rFonts w:asciiTheme="majorBidi" w:eastAsia="Calibri" w:hAnsiTheme="majorBidi" w:cstheme="majorBidi"/>
          <w:iCs/>
          <w:sz w:val="24"/>
          <w:szCs w:val="24"/>
          <w:lang w:val="en-ID"/>
        </w:rPr>
        <w:lastRenderedPageBreak/>
        <w:t>institution. The non-formal pathway aims to meet specific competency development needs for both new personnel and current officers, enabling them to keep up with the dynamic developments in law and policing techniques.</w:t>
      </w:r>
    </w:p>
    <w:p w14:paraId="03B6F1A4"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differences in the educational pattern of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are also reflected in the approaches used in each education program. In formal education, the primary focus is on mastering legal theory and fundamental policing skills, while in non-formal education, the emphasis is more on practical aspects and direct application of the knowledge learned. For instance, prospective judges, prosecutors, and advocates undergo specialized education and training designed for each profession, where they learn through a combination of theoretical curricula and internships in courts or other law enforcement agencies. Thus, although all actors in the criminal justice system share the same goals, the educational patterns applied vary to ensure that each profession meets the expected competency standards and supports the creation of synergy in more effective and just law enforcement.</w:t>
      </w:r>
    </w:p>
    <w:p w14:paraId="1C60C898" w14:textId="54204EFF"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legal basis governing human resources (HR) education in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is encapsulated in </w:t>
      </w:r>
      <w:r w:rsidR="00D55F49" w:rsidRPr="00FE0C4E">
        <w:rPr>
          <w:rFonts w:asciiTheme="majorBidi" w:eastAsia="Calibri" w:hAnsiTheme="majorBidi" w:cstheme="majorBidi"/>
          <w:iCs/>
          <w:sz w:val="24"/>
          <w:szCs w:val="24"/>
          <w:lang w:val="en-ID"/>
        </w:rPr>
        <w:t>a few</w:t>
      </w:r>
      <w:r w:rsidRPr="00FE0C4E">
        <w:rPr>
          <w:rFonts w:asciiTheme="majorBidi" w:eastAsia="Calibri" w:hAnsiTheme="majorBidi" w:cstheme="majorBidi"/>
          <w:iCs/>
          <w:sz w:val="24"/>
          <w:szCs w:val="24"/>
          <w:lang w:val="en-ID"/>
        </w:rPr>
        <w:t xml:space="preserve"> regulations that outline the functions and responsibilities of the police. One of the primary regulations is Law No. 2 of 2002 concerning the Indonesian National Police, which establishes the goals and mechanisms for education in the context of law enforcement. Additionally, there is the National Police Chief Regulation No. 4 of 2010 regarding the Police Education System, which provides further guidelines on the structure and organization of education in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However, despite the existence of a clear legal framework, its implementation often does not align with expectations, creating gaps between regulations and field practices.</w:t>
      </w:r>
    </w:p>
    <w:p w14:paraId="47FC228B"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Weaknesses in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education curriculum are evident in the lack of alignment between the taught materials and the dynamic needs of current law enforcement. Many educational curricula remain oriented toward theoretical aspects and do not adequately emphasize practical applications, which are essential for executing police duties in real-world situations. For example, limitations in mastering legal knowledge and technical policing skills lead to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personnel being unprepared to face challenges in the field, especially in cases that require deep understanding of law and advanced investigation techniques. As technology advances and the complexity of crime increases, it is crucial for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education curriculum to adapt to meet these demands.</w:t>
      </w:r>
    </w:p>
    <w:p w14:paraId="2EC61899"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recruitment and selection processes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have also come under scrutiny, as they are often deemed inadequate for producing quality human resources. Recruitment procedures that lack transparency and inappropriate selection criteria can result in a deficiency in the quality of prospective police members. The existing criteria often emphasize physical and administrative aspects, while analytical abilities, ethics, and legal understanding are often overlooked. This poses a risk to the integrity and professionalism of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creating challenges for effective and just law enforcement. Stricter and more comprehensive selection processes, including evaluations of intellectual and personality traits, are necessary to ensure that only capable and principled individuals can join the police institution.</w:t>
      </w:r>
    </w:p>
    <w:p w14:paraId="00AA60DB"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Although there are training and development programs for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evaluations of the effectiveness of these programs reveal weaknesses in professionalism enhancement. The training provided is often discontinuous and inadequate in addressing actual field needs.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require continuous, relevant training, particularly in technical skills, police ethics, </w:t>
      </w:r>
      <w:r w:rsidRPr="00FE0C4E">
        <w:rPr>
          <w:rFonts w:asciiTheme="majorBidi" w:eastAsia="Calibri" w:hAnsiTheme="majorBidi" w:cstheme="majorBidi"/>
          <w:iCs/>
          <w:sz w:val="24"/>
          <w:szCs w:val="24"/>
          <w:lang w:val="en-ID"/>
        </w:rPr>
        <w:lastRenderedPageBreak/>
        <w:t xml:space="preserve">and a deep understanding of human rights and international law. Weaknesses in these professionalism development programs can significantly impact the capacity and capability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in carrying out their duties, ultimately affecting the overall effectiveness of law enforcement in Indonesia.</w:t>
      </w:r>
    </w:p>
    <w:p w14:paraId="235258AC"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weaknesses in </w:t>
      </w:r>
      <w:proofErr w:type="spellStart"/>
      <w:r w:rsidRPr="00FE0C4E">
        <w:rPr>
          <w:rFonts w:asciiTheme="majorBidi" w:eastAsia="Calibri" w:hAnsiTheme="majorBidi" w:cstheme="majorBidi"/>
          <w:iCs/>
          <w:sz w:val="24"/>
          <w:szCs w:val="24"/>
          <w:lang w:val="en-ID"/>
        </w:rPr>
        <w:t>Polri's</w:t>
      </w:r>
      <w:proofErr w:type="spellEnd"/>
      <w:r w:rsidRPr="00FE0C4E">
        <w:rPr>
          <w:rFonts w:asciiTheme="majorBidi" w:eastAsia="Calibri" w:hAnsiTheme="majorBidi" w:cstheme="majorBidi"/>
          <w:iCs/>
          <w:sz w:val="24"/>
          <w:szCs w:val="24"/>
          <w:lang w:val="en-ID"/>
        </w:rPr>
        <w:t xml:space="preserve"> human resource education have a direct impact on law enforcement effectiveness. Inadequate education and training often lead to police members being ill-prepared and incompetent in executing their tasks. This can be observed through case studies that illustrate several law enforcement failures due to a lack of legal understanding among police personnel, leading to incorrect decisions that can harm the community. A concrete example of this weakness is when investigations in certain cases do not proceed optimally because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lack adequate investigative skills or fail to apply relevant legal principles.</w:t>
      </w:r>
    </w:p>
    <w:p w14:paraId="29209148"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weaknesses in human resource education (HR) within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significantly affect police professionalism. One of the most apparent impacts of these weaknesses is the diminishing integrity and image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in the eyes of the public. Insufficient education, both in terms of legal knowledge and technical skills, creates situations where police members may lack the ability to perform their duties professionally. For instance, when police members do not thoroughly understand the law, they may take actions that are inconsistent with legal principles, which can lead to human rights violations or abuse of power. When the community witnesses unprofessional or unethical </w:t>
      </w:r>
      <w:proofErr w:type="spellStart"/>
      <w:r w:rsidRPr="00FE0C4E">
        <w:rPr>
          <w:rFonts w:asciiTheme="majorBidi" w:eastAsia="Calibri" w:hAnsiTheme="majorBidi" w:cstheme="majorBidi"/>
          <w:iCs/>
          <w:sz w:val="24"/>
          <w:szCs w:val="24"/>
          <w:lang w:val="en-ID"/>
        </w:rPr>
        <w:t>behavior</w:t>
      </w:r>
      <w:proofErr w:type="spellEnd"/>
      <w:r w:rsidRPr="00FE0C4E">
        <w:rPr>
          <w:rFonts w:asciiTheme="majorBidi" w:eastAsia="Calibri" w:hAnsiTheme="majorBidi" w:cstheme="majorBidi"/>
          <w:iCs/>
          <w:sz w:val="24"/>
          <w:szCs w:val="24"/>
          <w:lang w:val="en-ID"/>
        </w:rPr>
        <w:t xml:space="preserve"> from police personnel, it risks eroding their trust in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institution.</w:t>
      </w:r>
    </w:p>
    <w:p w14:paraId="6172517B"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impact of legal weaknesses in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education is also keenly felt in public trust towards the police. Community trust serves as an important foundation for effective law enforcement. When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loses its positive image, the public is likely to hesitate to report or cooperate in law enforcement processes, directly affecting the police's ability to perform their duties effectively. Surveys and studies indicate that the public, lacking trust in the police, tends to be </w:t>
      </w:r>
      <w:proofErr w:type="spellStart"/>
      <w:r w:rsidRPr="00FE0C4E">
        <w:rPr>
          <w:rFonts w:asciiTheme="majorBidi" w:eastAsia="Calibri" w:hAnsiTheme="majorBidi" w:cstheme="majorBidi"/>
          <w:iCs/>
          <w:sz w:val="24"/>
          <w:szCs w:val="24"/>
          <w:lang w:val="en-ID"/>
        </w:rPr>
        <w:t>skeptical</w:t>
      </w:r>
      <w:proofErr w:type="spellEnd"/>
      <w:r w:rsidRPr="00FE0C4E">
        <w:rPr>
          <w:rFonts w:asciiTheme="majorBidi" w:eastAsia="Calibri" w:hAnsiTheme="majorBidi" w:cstheme="majorBidi"/>
          <w:iCs/>
          <w:sz w:val="24"/>
          <w:szCs w:val="24"/>
          <w:lang w:val="en-ID"/>
        </w:rPr>
        <w:t xml:space="preserve"> of any action taken by the police, even if such actions are legitimate. This situation creates a negative cycle where a lack of trust leads to doubt and insufficient support for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while the police struggle to regain that trust. In the long term, this distrust can disrupt social stability and create tension between the community and law enforcement.</w:t>
      </w:r>
    </w:p>
    <w:p w14:paraId="79ACC777"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Moreover, the implications of educational weaknesses may manifest in the high rates of reported violations and corruption cases involving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When education and training do not focus on ethics and integrity, police members may feel unbound to act in accordance with moral and legal standards. This can exacerbate negative public perceptions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and reinforce the stigma that the police are a corrupt and untrustworthy institution. Thus, efforts to improve </w:t>
      </w:r>
      <w:proofErr w:type="spellStart"/>
      <w:r w:rsidRPr="00FE0C4E">
        <w:rPr>
          <w:rFonts w:asciiTheme="majorBidi" w:eastAsia="Calibri" w:hAnsiTheme="majorBidi" w:cstheme="majorBidi"/>
          <w:iCs/>
          <w:sz w:val="24"/>
          <w:szCs w:val="24"/>
          <w:lang w:val="en-ID"/>
        </w:rPr>
        <w:t>Polri's</w:t>
      </w:r>
      <w:proofErr w:type="spellEnd"/>
      <w:r w:rsidRPr="00FE0C4E">
        <w:rPr>
          <w:rFonts w:asciiTheme="majorBidi" w:eastAsia="Calibri" w:hAnsiTheme="majorBidi" w:cstheme="majorBidi"/>
          <w:iCs/>
          <w:sz w:val="24"/>
          <w:szCs w:val="24"/>
          <w:lang w:val="en-ID"/>
        </w:rPr>
        <w:t xml:space="preserve"> human resources education are crucial not only for enhancing professionalism and integrity but also for rebuilding </w:t>
      </w:r>
      <w:proofErr w:type="spellStart"/>
      <w:r w:rsidRPr="00FE0C4E">
        <w:rPr>
          <w:rFonts w:asciiTheme="majorBidi" w:eastAsia="Calibri" w:hAnsiTheme="majorBidi" w:cstheme="majorBidi"/>
          <w:iCs/>
          <w:sz w:val="24"/>
          <w:szCs w:val="24"/>
          <w:lang w:val="en-ID"/>
        </w:rPr>
        <w:t>Polri's</w:t>
      </w:r>
      <w:proofErr w:type="spellEnd"/>
      <w:r w:rsidRPr="00FE0C4E">
        <w:rPr>
          <w:rFonts w:asciiTheme="majorBidi" w:eastAsia="Calibri" w:hAnsiTheme="majorBidi" w:cstheme="majorBidi"/>
          <w:iCs/>
          <w:sz w:val="24"/>
          <w:szCs w:val="24"/>
          <w:lang w:val="en-ID"/>
        </w:rPr>
        <w:t xml:space="preserve"> positive image in the eyes of the public. If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can demonstrate a commitment to improving the quality of its education and training, there will be hope for restoring public trust and creating a more harmonious relationship between the community and law enforcement.</w:t>
      </w:r>
    </w:p>
    <w:p w14:paraId="746D186A" w14:textId="77777777" w:rsidR="00FE0C4E" w:rsidRDefault="00FE0C4E" w:rsidP="00FE0C4E">
      <w:pPr>
        <w:spacing w:line="276" w:lineRule="auto"/>
        <w:jc w:val="both"/>
        <w:rPr>
          <w:rFonts w:asciiTheme="majorBidi" w:eastAsia="Calibri" w:hAnsiTheme="majorBidi" w:cstheme="majorBidi"/>
          <w:iCs/>
          <w:sz w:val="24"/>
          <w:szCs w:val="24"/>
          <w:lang w:val="en-ID"/>
        </w:rPr>
      </w:pPr>
    </w:p>
    <w:p w14:paraId="5F11E27E" w14:textId="77777777" w:rsidR="00D55F49" w:rsidRDefault="00D55F49" w:rsidP="00FE0C4E">
      <w:pPr>
        <w:spacing w:line="276" w:lineRule="auto"/>
        <w:jc w:val="both"/>
        <w:rPr>
          <w:rFonts w:asciiTheme="majorBidi" w:eastAsia="Calibri" w:hAnsiTheme="majorBidi" w:cstheme="majorBidi"/>
          <w:iCs/>
          <w:sz w:val="24"/>
          <w:szCs w:val="24"/>
          <w:lang w:val="en-ID"/>
        </w:rPr>
      </w:pPr>
    </w:p>
    <w:p w14:paraId="271D227D" w14:textId="77777777" w:rsidR="00D55F49" w:rsidRPr="00FE0C4E" w:rsidRDefault="00D55F49" w:rsidP="00FE0C4E">
      <w:pPr>
        <w:spacing w:line="276" w:lineRule="auto"/>
        <w:jc w:val="both"/>
        <w:rPr>
          <w:rFonts w:asciiTheme="majorBidi" w:eastAsia="Calibri" w:hAnsiTheme="majorBidi" w:cstheme="majorBidi"/>
          <w:iCs/>
          <w:sz w:val="24"/>
          <w:szCs w:val="24"/>
          <w:lang w:val="en-ID"/>
        </w:rPr>
      </w:pPr>
    </w:p>
    <w:p w14:paraId="184E81D6" w14:textId="77777777" w:rsidR="00FE0C4E" w:rsidRPr="00FE0C4E" w:rsidRDefault="00FE0C4E" w:rsidP="00FE0C4E">
      <w:pPr>
        <w:spacing w:line="276" w:lineRule="auto"/>
        <w:jc w:val="both"/>
        <w:rPr>
          <w:rFonts w:asciiTheme="majorBidi" w:eastAsia="Calibri" w:hAnsiTheme="majorBidi" w:cstheme="majorBidi"/>
          <w:b/>
          <w:bCs/>
          <w:iCs/>
          <w:sz w:val="24"/>
          <w:szCs w:val="24"/>
          <w:lang w:val="en-ID"/>
        </w:rPr>
      </w:pPr>
      <w:r w:rsidRPr="00FE0C4E">
        <w:rPr>
          <w:rFonts w:asciiTheme="majorBidi" w:eastAsia="Calibri" w:hAnsiTheme="majorBidi" w:cstheme="majorBidi"/>
          <w:b/>
          <w:bCs/>
          <w:iCs/>
          <w:sz w:val="24"/>
          <w:szCs w:val="24"/>
          <w:lang w:val="en-ID"/>
        </w:rPr>
        <w:lastRenderedPageBreak/>
        <w:t xml:space="preserve">Legal Reconstruction to Enhance Human Resource Management and Education in </w:t>
      </w:r>
      <w:proofErr w:type="spellStart"/>
      <w:r w:rsidRPr="00FE0C4E">
        <w:rPr>
          <w:rFonts w:asciiTheme="majorBidi" w:eastAsia="Calibri" w:hAnsiTheme="majorBidi" w:cstheme="majorBidi"/>
          <w:b/>
          <w:bCs/>
          <w:iCs/>
          <w:sz w:val="24"/>
          <w:szCs w:val="24"/>
          <w:lang w:val="en-ID"/>
        </w:rPr>
        <w:t>Polri</w:t>
      </w:r>
      <w:proofErr w:type="spellEnd"/>
      <w:r w:rsidRPr="00FE0C4E">
        <w:rPr>
          <w:rFonts w:asciiTheme="majorBidi" w:eastAsia="Calibri" w:hAnsiTheme="majorBidi" w:cstheme="majorBidi"/>
          <w:b/>
          <w:bCs/>
          <w:iCs/>
          <w:sz w:val="24"/>
          <w:szCs w:val="24"/>
          <w:lang w:val="en-ID"/>
        </w:rPr>
        <w:t xml:space="preserve"> and Create an Effective and Fair Criminal Justice System</w:t>
      </w:r>
    </w:p>
    <w:p w14:paraId="16D7B4CE"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In the face of dynamic legal developments and increasingly complex societal demands, legal reconstruction becomes an urgent necessity in the context of human resource (HR) management and education within the Indonesian National Police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As one of the primary pillars of the criminal justice system,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bears significant responsibilities in enforcing laws and maintaining public security and order. However, various challenges, such as weaknesses in education and HR management, often hinder the effectiveness of their duties. Therefore, through legal reconstruction, it is expected that a more integrated and relevant educational system will emerge, one that not only enhances the professional competence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but also supports the establishment of an effective and fair criminal justice system. Thus, efforts to reform the education and HR management in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must become a priority, enabling the police to function optimally in executing their roles as professional law enforcers trusted by the community.</w:t>
      </w:r>
    </w:p>
    <w:p w14:paraId="6C3FEFF1"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In striving to realize democratic law enforcement in Indonesia, the synchronization of police education as part of the Integrated Criminal Justice System (ICJS) becomes essential. First, the goals of police education need to be redefined to ensure that police function not only as law enforcers but also as actors who understand and effectively apply legal norms. In this context,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must respond to the challenges arising from the dissonance between its members' legal knowledge and that of other actors in the ICJS, such as the Corruption Eradication Commission (KPK). This requires a shift in focus within police education, so that graduates can become competent investigators in both substantive and formal law, as well as understand human rights. If police education merely emphasizes technical aspects without adequate legal knowledge,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risk becoming no more than "handymen" lacking adequate expertise.</w:t>
      </w:r>
    </w:p>
    <w:p w14:paraId="6BE4D7BA"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The synchronization between learners and the police education curriculum is also crucial for creating professional law enforcement personnel. By making a law degree a primary requirement for entry into police education, it is hoped that there will be alignment of knowledge among police, prosecutors, judges, and advocates. This aligns with practices in other countries, where police with higher educational backgrounds are more likely to be accepted and respected by the community. Additionally, changes in the police education curriculum should correspond to the educational backgrounds of learners, shifting from high school to law degrees, ensuring that study </w:t>
      </w:r>
      <w:proofErr w:type="gramStart"/>
      <w:r w:rsidRPr="00FE0C4E">
        <w:rPr>
          <w:rFonts w:asciiTheme="majorBidi" w:eastAsia="Calibri" w:hAnsiTheme="majorBidi" w:cstheme="majorBidi"/>
          <w:iCs/>
          <w:sz w:val="24"/>
          <w:szCs w:val="24"/>
          <w:lang w:val="en-ID"/>
        </w:rPr>
        <w:t>loads</w:t>
      </w:r>
      <w:proofErr w:type="gramEnd"/>
      <w:r w:rsidRPr="00FE0C4E">
        <w:rPr>
          <w:rFonts w:asciiTheme="majorBidi" w:eastAsia="Calibri" w:hAnsiTheme="majorBidi" w:cstheme="majorBidi"/>
          <w:iCs/>
          <w:sz w:val="24"/>
          <w:szCs w:val="24"/>
          <w:lang w:val="en-ID"/>
        </w:rPr>
        <w:t xml:space="preserve"> and educational durations can be adjusted to produce modern and humane police inspectors more efficiently. With these measures, it is anticipated that alignment among actors in the ICJS can be realized, supporting the creation of an effective and just judicial system.</w:t>
      </w:r>
    </w:p>
    <w:p w14:paraId="4534D90E"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To improve the quality of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human resources (HR) education, it is necessary to update the curriculum in accordance with the needs of modern law enforcement. The current curriculum must be evaluated and revised to encompass relevant materials that address increasingly complex legal challenges, such as issues related to information technology, cybercrime, and human rights violations. Moreover, developing effective training methods, including practice-based education, is also vital. Practice-based education allows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to gain hands-on experience in the field, enabling them to apply the knowledge acquired in real contexts. By integrating simulations, internships, and case-based training into </w:t>
      </w:r>
      <w:r w:rsidRPr="00FE0C4E">
        <w:rPr>
          <w:rFonts w:asciiTheme="majorBidi" w:eastAsia="Calibri" w:hAnsiTheme="majorBidi" w:cstheme="majorBidi"/>
          <w:iCs/>
          <w:sz w:val="24"/>
          <w:szCs w:val="24"/>
          <w:lang w:val="en-ID"/>
        </w:rPr>
        <w:lastRenderedPageBreak/>
        <w:t>the education programs, police personnel will be better prepared to face field challenges and enhance their capabilities in executing just and effective law enforcement.</w:t>
      </w:r>
    </w:p>
    <w:p w14:paraId="1777C9E0"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Alignment of </w:t>
      </w:r>
      <w:proofErr w:type="spellStart"/>
      <w:r w:rsidRPr="00FE0C4E">
        <w:rPr>
          <w:rFonts w:asciiTheme="majorBidi" w:eastAsia="Calibri" w:hAnsiTheme="majorBidi" w:cstheme="majorBidi"/>
          <w:iCs/>
          <w:sz w:val="24"/>
          <w:szCs w:val="24"/>
          <w:lang w:val="en-ID"/>
        </w:rPr>
        <w:t>Polri's</w:t>
      </w:r>
      <w:proofErr w:type="spellEnd"/>
      <w:r w:rsidRPr="00FE0C4E">
        <w:rPr>
          <w:rFonts w:asciiTheme="majorBidi" w:eastAsia="Calibri" w:hAnsiTheme="majorBidi" w:cstheme="majorBidi"/>
          <w:iCs/>
          <w:sz w:val="24"/>
          <w:szCs w:val="24"/>
          <w:lang w:val="en-ID"/>
        </w:rPr>
        <w:t xml:space="preserve"> HR education with other actors in the criminal justice system, such as prosecutors, judges, and advocates, is key to creating an effective law enforcement system. Achieving this necessitates strategies for collaboration and harmonization among law enforcement agencies. Joint education programs, seminars, and workshops between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the prosecutor's office, and other judicial institutions can help enhance mutual understanding of each actor's roles and responsibilities. Through this collaboration, it is hoped that alignment can be created in handling legal cases and developing more comprehensive law enforcement policies. This will not only improve the quality of law enforcement but also strengthen public trust in the overall criminal justice system.</w:t>
      </w:r>
    </w:p>
    <w:p w14:paraId="69885D68"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Efforts to enhance integrity and professionalism among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through ethical education and training are crucial. Ethical education focused on moral values and professionalism should be an integral part of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HR education curriculum. Furthermore, the enforcement of ethical codes and the mechanisms for sanctions against ethical violations need to be reinforced. A clear and stringent code of ethics must be upheld to ensure that each member of the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understands and adheres to the expected professional standards. Consequently,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will not only become competent law enforcers but will also possess integrity and high reputation in the eyes of the public, thereby increasing public trust in the police institution.</w:t>
      </w:r>
    </w:p>
    <w:p w14:paraId="2F74401D" w14:textId="77777777" w:rsidR="00FE0C4E" w:rsidRPr="00FE0C4E" w:rsidRDefault="00FE0C4E" w:rsidP="00D55F49">
      <w:pPr>
        <w:spacing w:line="276" w:lineRule="auto"/>
        <w:ind w:firstLine="567"/>
        <w:jc w:val="both"/>
        <w:rPr>
          <w:rFonts w:asciiTheme="majorBidi" w:eastAsia="Calibri" w:hAnsiTheme="majorBidi" w:cstheme="majorBidi"/>
          <w:iCs/>
          <w:sz w:val="24"/>
          <w:szCs w:val="24"/>
          <w:lang w:val="en-ID"/>
        </w:rPr>
      </w:pPr>
      <w:r w:rsidRPr="00FE0C4E">
        <w:rPr>
          <w:rFonts w:asciiTheme="majorBidi" w:eastAsia="Calibri" w:hAnsiTheme="majorBidi" w:cstheme="majorBidi"/>
          <w:iCs/>
          <w:sz w:val="24"/>
          <w:szCs w:val="24"/>
          <w:lang w:val="en-ID"/>
        </w:rPr>
        <w:t xml:space="preserve">Enhancing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HR education through legal reconstruction is expected to significantly impact law enforcement effectiveness. With better education,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will be capable of handling cases more professionally and fairly, which in turn will improve the legitimacy of the criminal justice system in the eyes of the public. Analysis of public trust indicates that when communities observe law enforcement undertakings being carried out transparently and professionally, their confidence in legal institutions increases. Therefore, every step taken to improve the quality of education and professionalism among </w:t>
      </w:r>
      <w:proofErr w:type="spellStart"/>
      <w:r w:rsidRPr="00FE0C4E">
        <w:rPr>
          <w:rFonts w:asciiTheme="majorBidi" w:eastAsia="Calibri" w:hAnsiTheme="majorBidi" w:cstheme="majorBidi"/>
          <w:iCs/>
          <w:sz w:val="24"/>
          <w:szCs w:val="24"/>
          <w:lang w:val="en-ID"/>
        </w:rPr>
        <w:t>Polri</w:t>
      </w:r>
      <w:proofErr w:type="spellEnd"/>
      <w:r w:rsidRPr="00FE0C4E">
        <w:rPr>
          <w:rFonts w:asciiTheme="majorBidi" w:eastAsia="Calibri" w:hAnsiTheme="majorBidi" w:cstheme="majorBidi"/>
          <w:iCs/>
          <w:sz w:val="24"/>
          <w:szCs w:val="24"/>
          <w:lang w:val="en-ID"/>
        </w:rPr>
        <w:t xml:space="preserve"> members represents a valuable investment in creating a better and more effective criminal justice system.</w:t>
      </w:r>
    </w:p>
    <w:p w14:paraId="431DFEB6" w14:textId="77777777" w:rsidR="003214E8" w:rsidRDefault="003214E8" w:rsidP="00E56BE0">
      <w:pPr>
        <w:pStyle w:val="BodyText"/>
        <w:tabs>
          <w:tab w:val="left" w:pos="5250"/>
        </w:tabs>
        <w:spacing w:line="276" w:lineRule="auto"/>
        <w:ind w:right="98" w:firstLine="0"/>
        <w:rPr>
          <w:b/>
          <w:bCs/>
          <w:sz w:val="24"/>
          <w:szCs w:val="24"/>
          <w:lang w:val="en-ID"/>
        </w:rPr>
      </w:pPr>
    </w:p>
    <w:p w14:paraId="34821DBB" w14:textId="4103A000" w:rsidR="007C2974" w:rsidRPr="007C2974" w:rsidRDefault="007C2974" w:rsidP="00E56BE0">
      <w:pPr>
        <w:pStyle w:val="BodyText"/>
        <w:tabs>
          <w:tab w:val="left" w:pos="5250"/>
        </w:tabs>
        <w:spacing w:line="276" w:lineRule="auto"/>
        <w:ind w:right="98" w:firstLine="0"/>
        <w:rPr>
          <w:b/>
          <w:bCs/>
          <w:sz w:val="24"/>
          <w:szCs w:val="24"/>
        </w:rPr>
      </w:pPr>
      <w:r w:rsidRPr="007C2974">
        <w:rPr>
          <w:b/>
          <w:bCs/>
          <w:sz w:val="24"/>
          <w:szCs w:val="24"/>
        </w:rPr>
        <w:t>CONCLUSION</w:t>
      </w:r>
      <w:r w:rsidR="00F54D77">
        <w:rPr>
          <w:b/>
          <w:bCs/>
          <w:sz w:val="24"/>
          <w:szCs w:val="24"/>
        </w:rPr>
        <w:tab/>
      </w:r>
    </w:p>
    <w:p w14:paraId="09D2B88A" w14:textId="77777777" w:rsidR="00D55F49" w:rsidRPr="00D55F49" w:rsidRDefault="00D55F49" w:rsidP="00D55F49">
      <w:pPr>
        <w:spacing w:line="276" w:lineRule="auto"/>
        <w:ind w:right="98" w:firstLine="567"/>
        <w:jc w:val="both"/>
        <w:rPr>
          <w:spacing w:val="-1"/>
          <w:sz w:val="24"/>
          <w:szCs w:val="24"/>
          <w:lang w:val="en-ID"/>
        </w:rPr>
      </w:pPr>
      <w:r w:rsidRPr="00D55F49">
        <w:rPr>
          <w:spacing w:val="-1"/>
          <w:sz w:val="24"/>
          <w:szCs w:val="24"/>
          <w:lang w:val="en-GB"/>
        </w:rPr>
        <w:t>The conclusion emphasizes the importance of enhancing human resources (HR) education within the Indonesian National Police (</w:t>
      </w:r>
      <w:proofErr w:type="spellStart"/>
      <w:r w:rsidRPr="00D55F49">
        <w:rPr>
          <w:spacing w:val="-1"/>
          <w:sz w:val="24"/>
          <w:szCs w:val="24"/>
          <w:lang w:val="en-GB"/>
        </w:rPr>
        <w:t>Polri</w:t>
      </w:r>
      <w:proofErr w:type="spellEnd"/>
      <w:r w:rsidRPr="00D55F49">
        <w:rPr>
          <w:spacing w:val="-1"/>
          <w:sz w:val="24"/>
          <w:szCs w:val="24"/>
          <w:lang w:val="en-GB"/>
        </w:rPr>
        <w:t xml:space="preserve">) to achieve effective and just law enforcement. By revamping the current curriculum and implementing practice-based training, </w:t>
      </w:r>
      <w:proofErr w:type="spellStart"/>
      <w:r w:rsidRPr="00D55F49">
        <w:rPr>
          <w:spacing w:val="-1"/>
          <w:sz w:val="24"/>
          <w:szCs w:val="24"/>
          <w:lang w:val="en-GB"/>
        </w:rPr>
        <w:t>Polri</w:t>
      </w:r>
      <w:proofErr w:type="spellEnd"/>
      <w:r w:rsidRPr="00D55F49">
        <w:rPr>
          <w:spacing w:val="-1"/>
          <w:sz w:val="24"/>
          <w:szCs w:val="24"/>
          <w:lang w:val="en-GB"/>
        </w:rPr>
        <w:t xml:space="preserve"> can better prepare its members to confront modern legal challenges. Collaboration with other stakeholders in the criminal justice system—such as prosecutors, judges, and advocates—is essential for fostering synergy in law enforcement, which will lead to better case handling and comprehensive policies that enhance public trust. Strengthening professionalism and ethics among </w:t>
      </w:r>
      <w:proofErr w:type="spellStart"/>
      <w:r w:rsidRPr="00D55F49">
        <w:rPr>
          <w:spacing w:val="-1"/>
          <w:sz w:val="24"/>
          <w:szCs w:val="24"/>
          <w:lang w:val="en-GB"/>
        </w:rPr>
        <w:t>Polri</w:t>
      </w:r>
      <w:proofErr w:type="spellEnd"/>
      <w:r w:rsidRPr="00D55F49">
        <w:rPr>
          <w:spacing w:val="-1"/>
          <w:sz w:val="24"/>
          <w:szCs w:val="24"/>
          <w:lang w:val="en-GB"/>
        </w:rPr>
        <w:t xml:space="preserve"> members through ethical education and strict adherence to a code of ethics is crucial for building the integrity of the police institution. Ultimately, these efforts to improve education and professionalism in </w:t>
      </w:r>
      <w:proofErr w:type="spellStart"/>
      <w:r w:rsidRPr="00D55F49">
        <w:rPr>
          <w:spacing w:val="-1"/>
          <w:sz w:val="24"/>
          <w:szCs w:val="24"/>
          <w:lang w:val="en-GB"/>
        </w:rPr>
        <w:t>Polri</w:t>
      </w:r>
      <w:proofErr w:type="spellEnd"/>
      <w:r w:rsidRPr="00D55F49">
        <w:rPr>
          <w:spacing w:val="-1"/>
          <w:sz w:val="24"/>
          <w:szCs w:val="24"/>
          <w:lang w:val="en-GB"/>
        </w:rPr>
        <w:t xml:space="preserve"> not only enhance law enforcement quality but also bolster its public image and legitimacy, contributing positively to the overall effectiveness of the criminal justice system and fostering a more just, transparent, and trustworthy legal environment.</w:t>
      </w:r>
    </w:p>
    <w:p w14:paraId="05B4BC45" w14:textId="77777777" w:rsidR="0013321E" w:rsidRPr="00D55F49" w:rsidRDefault="0013321E" w:rsidP="0013321E">
      <w:pPr>
        <w:spacing w:line="276" w:lineRule="auto"/>
        <w:ind w:right="98"/>
        <w:jc w:val="both"/>
        <w:rPr>
          <w:sz w:val="24"/>
          <w:szCs w:val="24"/>
          <w:lang w:val="en-ID"/>
        </w:rPr>
      </w:pPr>
    </w:p>
    <w:p w14:paraId="31B39082" w14:textId="50BBA990" w:rsidR="00136E00" w:rsidRPr="00136E00" w:rsidRDefault="00D60B6C" w:rsidP="00471F60">
      <w:pPr>
        <w:pStyle w:val="BodyText"/>
        <w:spacing w:line="276" w:lineRule="auto"/>
        <w:ind w:right="98" w:firstLine="0"/>
        <w:rPr>
          <w:b/>
          <w:sz w:val="24"/>
          <w:szCs w:val="24"/>
        </w:rPr>
      </w:pPr>
      <w:r w:rsidRPr="00136E00">
        <w:rPr>
          <w:b/>
          <w:sz w:val="24"/>
          <w:szCs w:val="24"/>
        </w:rPr>
        <w:lastRenderedPageBreak/>
        <w:t>REFERENCES</w:t>
      </w:r>
    </w:p>
    <w:p w14:paraId="04E0734E" w14:textId="5F91AAB1" w:rsidR="00D55F49" w:rsidRPr="00D55F49" w:rsidRDefault="00D55F49" w:rsidP="00D55F49">
      <w:pPr>
        <w:pStyle w:val="BodyText"/>
        <w:spacing w:line="276" w:lineRule="auto"/>
        <w:ind w:left="426" w:right="98" w:hanging="426"/>
        <w:rPr>
          <w:bCs/>
          <w:sz w:val="24"/>
          <w:szCs w:val="24"/>
        </w:rPr>
      </w:pPr>
      <w:r w:rsidRPr="00D55F49">
        <w:rPr>
          <w:bCs/>
          <w:sz w:val="24"/>
          <w:szCs w:val="24"/>
        </w:rPr>
        <w:t>[1</w:t>
      </w:r>
      <w:r w:rsidRPr="00D55F49">
        <w:rPr>
          <w:bCs/>
          <w:sz w:val="24"/>
          <w:szCs w:val="24"/>
        </w:rPr>
        <w:t>] Abdussalam</w:t>
      </w:r>
      <w:r w:rsidRPr="00D55F49">
        <w:rPr>
          <w:bCs/>
          <w:sz w:val="24"/>
          <w:szCs w:val="24"/>
        </w:rPr>
        <w:t xml:space="preserve">, Hukum </w:t>
      </w:r>
      <w:proofErr w:type="spellStart"/>
      <w:r w:rsidRPr="00D55F49">
        <w:rPr>
          <w:bCs/>
          <w:sz w:val="24"/>
          <w:szCs w:val="24"/>
        </w:rPr>
        <w:t>Kepolisian</w:t>
      </w:r>
      <w:proofErr w:type="spellEnd"/>
      <w:r w:rsidRPr="00D55F49">
        <w:rPr>
          <w:bCs/>
          <w:sz w:val="24"/>
          <w:szCs w:val="24"/>
        </w:rPr>
        <w:t xml:space="preserve"> </w:t>
      </w:r>
      <w:proofErr w:type="spellStart"/>
      <w:r w:rsidRPr="00D55F49">
        <w:rPr>
          <w:bCs/>
          <w:sz w:val="24"/>
          <w:szCs w:val="24"/>
        </w:rPr>
        <w:t>Sebagai</w:t>
      </w:r>
      <w:proofErr w:type="spellEnd"/>
      <w:r w:rsidRPr="00D55F49">
        <w:rPr>
          <w:bCs/>
          <w:sz w:val="24"/>
          <w:szCs w:val="24"/>
        </w:rPr>
        <w:t xml:space="preserve"> Hukum </w:t>
      </w:r>
      <w:proofErr w:type="spellStart"/>
      <w:r w:rsidRPr="00D55F49">
        <w:rPr>
          <w:bCs/>
          <w:sz w:val="24"/>
          <w:szCs w:val="24"/>
        </w:rPr>
        <w:t>Positif</w:t>
      </w:r>
      <w:proofErr w:type="spellEnd"/>
      <w:r w:rsidRPr="00D55F49">
        <w:rPr>
          <w:bCs/>
          <w:sz w:val="24"/>
          <w:szCs w:val="24"/>
        </w:rPr>
        <w:t xml:space="preserve"> Dalam </w:t>
      </w:r>
      <w:proofErr w:type="spellStart"/>
      <w:r w:rsidRPr="00D55F49">
        <w:rPr>
          <w:bCs/>
          <w:sz w:val="24"/>
          <w:szCs w:val="24"/>
        </w:rPr>
        <w:t>Disiplin</w:t>
      </w:r>
      <w:proofErr w:type="spellEnd"/>
      <w:r w:rsidRPr="00D55F49">
        <w:rPr>
          <w:bCs/>
          <w:sz w:val="24"/>
          <w:szCs w:val="24"/>
        </w:rPr>
        <w:t xml:space="preserve"> Hukum, Jakarta: </w:t>
      </w:r>
      <w:proofErr w:type="spellStart"/>
      <w:r w:rsidRPr="00D55F49">
        <w:rPr>
          <w:bCs/>
          <w:sz w:val="24"/>
          <w:szCs w:val="24"/>
        </w:rPr>
        <w:t>Restu</w:t>
      </w:r>
      <w:proofErr w:type="spellEnd"/>
      <w:r w:rsidRPr="00D55F49">
        <w:rPr>
          <w:bCs/>
          <w:sz w:val="24"/>
          <w:szCs w:val="24"/>
        </w:rPr>
        <w:t xml:space="preserve"> Agung, 2007. </w:t>
      </w:r>
    </w:p>
    <w:p w14:paraId="31B423D8"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[2] </w:t>
      </w:r>
      <w:r w:rsidRPr="00D55F49">
        <w:rPr>
          <w:bCs/>
          <w:sz w:val="24"/>
          <w:szCs w:val="24"/>
          <w:lang w:val="sv-SE"/>
        </w:rPr>
        <w:tab/>
        <w:t xml:space="preserve">R. I. Amriel, Polisi Bukan Manusia, Membentuk Polisi Santun dan Berempati, Tangerang: Serat Alam Media, 2014. </w:t>
      </w:r>
    </w:p>
    <w:p w14:paraId="66CFEB42"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[3] </w:t>
      </w:r>
      <w:r w:rsidRPr="00D55F49">
        <w:rPr>
          <w:bCs/>
          <w:sz w:val="24"/>
          <w:szCs w:val="24"/>
          <w:lang w:val="sv-SE"/>
        </w:rPr>
        <w:tab/>
        <w:t xml:space="preserve">M. Mulyadi, Kepolisian Dalam Sistem Peradilan Pidana, Medan: USU Press, 2009. </w:t>
      </w:r>
    </w:p>
    <w:p w14:paraId="5181425B"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[4] </w:t>
      </w:r>
      <w:r w:rsidRPr="00D55F49">
        <w:rPr>
          <w:bCs/>
          <w:sz w:val="24"/>
          <w:szCs w:val="24"/>
          <w:lang w:val="sv-SE"/>
        </w:rPr>
        <w:tab/>
        <w:t xml:space="preserve">I. K. A. Purnama, Hukum Kepolisian (Sejarah dan Peran Polri Dalam Penegakan Hukum Serta Perlindungan HAM), Bandung: Refika Aditama, 2018. </w:t>
      </w:r>
    </w:p>
    <w:p w14:paraId="66DB6ECE"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[5] </w:t>
      </w:r>
      <w:r w:rsidRPr="00D55F49">
        <w:rPr>
          <w:bCs/>
          <w:sz w:val="24"/>
          <w:szCs w:val="24"/>
          <w:lang w:val="sv-SE"/>
        </w:rPr>
        <w:tab/>
        <w:t xml:space="preserve">H. d. B. T. S. Sadjijono, Hukum Kepolisian Di Indonesia, Surabaya: Laksbang Pressindo, 2017. </w:t>
      </w:r>
    </w:p>
    <w:p w14:paraId="0B36B533"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[6] </w:t>
      </w:r>
      <w:r w:rsidRPr="00D55F49">
        <w:rPr>
          <w:bCs/>
          <w:sz w:val="24"/>
          <w:szCs w:val="24"/>
          <w:lang w:val="sv-SE"/>
        </w:rPr>
        <w:tab/>
        <w:t xml:space="preserve">Sadjijono, Memahami Hukum Kepolisian, Yogyakarta: Laksbang Pressindo, 2010. </w:t>
      </w:r>
    </w:p>
    <w:p w14:paraId="4CD20945" w14:textId="77777777" w:rsidR="00D55F4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[7] </w:t>
      </w:r>
      <w:r w:rsidRPr="00D55F49">
        <w:rPr>
          <w:bCs/>
          <w:sz w:val="24"/>
          <w:szCs w:val="24"/>
          <w:lang w:val="sv-SE"/>
        </w:rPr>
        <w:tab/>
        <w:t xml:space="preserve">B. W. Umar, Reformasi Kepolisian Republik Indonesia, Jakarta: IDSPS, 2009. </w:t>
      </w:r>
    </w:p>
    <w:p w14:paraId="371C731C" w14:textId="30BA6832" w:rsidR="00373509" w:rsidRPr="00D55F49" w:rsidRDefault="00D55F49" w:rsidP="00D55F49">
      <w:pPr>
        <w:pStyle w:val="BodyText"/>
        <w:spacing w:line="276" w:lineRule="auto"/>
        <w:ind w:left="426" w:right="98" w:hanging="426"/>
        <w:rPr>
          <w:bCs/>
          <w:sz w:val="24"/>
          <w:szCs w:val="24"/>
          <w:lang w:val="sv-SE"/>
        </w:rPr>
      </w:pPr>
      <w:r w:rsidRPr="00D55F49">
        <w:rPr>
          <w:bCs/>
          <w:sz w:val="24"/>
          <w:szCs w:val="24"/>
          <w:lang w:val="sv-SE"/>
        </w:rPr>
        <w:t xml:space="preserve">[8] </w:t>
      </w:r>
      <w:r w:rsidRPr="00D55F49">
        <w:rPr>
          <w:bCs/>
          <w:sz w:val="24"/>
          <w:szCs w:val="24"/>
          <w:lang w:val="sv-SE"/>
        </w:rPr>
        <w:tab/>
        <w:t>Y. U. Suyono, Hukum Kepolisian, Yogyakarta: Laksbang Grafika, 2013.</w:t>
      </w:r>
    </w:p>
    <w:sectPr w:rsidR="00373509" w:rsidRPr="00D55F49"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9B316" w14:textId="77777777" w:rsidR="000760BD" w:rsidRDefault="000760BD" w:rsidP="00E544C8">
      <w:r>
        <w:separator/>
      </w:r>
    </w:p>
  </w:endnote>
  <w:endnote w:type="continuationSeparator" w:id="0">
    <w:p w14:paraId="2BE49BF8" w14:textId="77777777" w:rsidR="000760BD" w:rsidRDefault="000760BD"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5</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FA6D77" w:rsidRPr="00FA6D77">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BFE92" w14:textId="77777777" w:rsidR="000760BD" w:rsidRDefault="000760BD" w:rsidP="00E544C8">
      <w:r>
        <w:separator/>
      </w:r>
    </w:p>
  </w:footnote>
  <w:footnote w:type="continuationSeparator" w:id="0">
    <w:p w14:paraId="42BC4B69" w14:textId="77777777" w:rsidR="000760BD" w:rsidRDefault="000760BD"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2899742D" w14:textId="77777777" w:rsidR="00D55F49" w:rsidRPr="00D55F49" w:rsidRDefault="00D55F49" w:rsidP="00D55F49">
    <w:pPr>
      <w:pStyle w:val="Footer"/>
      <w:jc w:val="both"/>
      <w:rPr>
        <w:rFonts w:asciiTheme="majorBidi" w:hAnsiTheme="majorBidi" w:cstheme="majorBidi"/>
        <w:b/>
        <w:bCs/>
        <w:i/>
        <w:iCs/>
        <w:lang w:val="en-ID"/>
      </w:rPr>
    </w:pPr>
    <w:r w:rsidRPr="00D55F49">
      <w:rPr>
        <w:rFonts w:asciiTheme="majorBidi" w:hAnsiTheme="majorBidi" w:cstheme="majorBidi"/>
        <w:b/>
        <w:bCs/>
        <w:i/>
        <w:iCs/>
        <w:lang w:val="en-ID"/>
      </w:rPr>
      <w:t>Reconstruction of Law in Enhancing Human Resources of the Police to Realize an Integrated Criminal Justice System</w:t>
    </w:r>
  </w:p>
  <w:p w14:paraId="77282208" w14:textId="6D09B609" w:rsidR="00E56BE0" w:rsidRPr="00E56BE0" w:rsidRDefault="00E56BE0" w:rsidP="00D55F49">
    <w:pPr>
      <w:pStyle w:val="Footer"/>
      <w:jc w:val="both"/>
      <w:rPr>
        <w:rFonts w:asciiTheme="majorBidi" w:hAnsiTheme="majorBidi" w:cstheme="majorBidi"/>
        <w:b/>
        <w:bCs/>
        <w:i/>
        <w:iCs/>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62743D68" w14:textId="77777777" w:rsidR="00D55F49" w:rsidRPr="00D55F49" w:rsidRDefault="00D55F49" w:rsidP="00D55F49">
    <w:pPr>
      <w:spacing w:line="276" w:lineRule="auto"/>
      <w:ind w:right="969"/>
      <w:jc w:val="both"/>
      <w:rPr>
        <w:rFonts w:asciiTheme="majorBidi" w:hAnsiTheme="majorBidi" w:cstheme="majorBidi"/>
        <w:b/>
        <w:bCs/>
        <w:i/>
        <w:iCs/>
        <w:sz w:val="18"/>
        <w:szCs w:val="18"/>
        <w:lang w:val="en-ID"/>
      </w:rPr>
    </w:pPr>
    <w:r w:rsidRPr="00D55F49">
      <w:rPr>
        <w:rFonts w:asciiTheme="majorBidi" w:hAnsiTheme="majorBidi" w:cstheme="majorBidi"/>
        <w:b/>
        <w:bCs/>
        <w:i/>
        <w:iCs/>
        <w:sz w:val="18"/>
        <w:szCs w:val="18"/>
        <w:lang w:val="en-ID"/>
      </w:rPr>
      <w:t>Reconstruction of Law in Enhancing Human Resources of the Police to Realize an Integrated Criminal Justice System</w:t>
    </w:r>
  </w:p>
  <w:p w14:paraId="159B9C47" w14:textId="6549FCCD" w:rsidR="00B57478" w:rsidRPr="00E56BE0" w:rsidRDefault="00B57478" w:rsidP="00D55F49">
    <w:pPr>
      <w:spacing w:line="276" w:lineRule="auto"/>
      <w:ind w:right="969"/>
      <w:jc w:val="both"/>
      <w:rPr>
        <w:rFonts w:asciiTheme="majorBidi" w:hAnsiTheme="majorBidi" w:cstheme="majorBidi"/>
        <w:b/>
        <w:bCs/>
        <w:i/>
        <w:iCs/>
        <w:sz w:val="18"/>
        <w:szCs w:val="18"/>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72"/>
    <w:multiLevelType w:val="hybridMultilevel"/>
    <w:tmpl w:val="C046EE1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0B5D12B0"/>
    <w:multiLevelType w:val="hybridMultilevel"/>
    <w:tmpl w:val="3D9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765B"/>
    <w:multiLevelType w:val="hybridMultilevel"/>
    <w:tmpl w:val="CA244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3" w15:restartNumberingAfterBreak="0">
    <w:nsid w:val="20B17006"/>
    <w:multiLevelType w:val="hybridMultilevel"/>
    <w:tmpl w:val="BE9037E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5"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6"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7"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8"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0"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1B8670D"/>
    <w:multiLevelType w:val="hybridMultilevel"/>
    <w:tmpl w:val="E7CA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EDB7A82"/>
    <w:multiLevelType w:val="hybridMultilevel"/>
    <w:tmpl w:val="880EEE3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4"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5"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6"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9"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41" w15:restartNumberingAfterBreak="0">
    <w:nsid w:val="69D553F4"/>
    <w:multiLevelType w:val="hybridMultilevel"/>
    <w:tmpl w:val="03B6CDF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3" w15:restartNumberingAfterBreak="0">
    <w:nsid w:val="6B1B2DBE"/>
    <w:multiLevelType w:val="hybridMultilevel"/>
    <w:tmpl w:val="0886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5"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6"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7" w15:restartNumberingAfterBreak="0">
    <w:nsid w:val="6F9E4247"/>
    <w:multiLevelType w:val="hybridMultilevel"/>
    <w:tmpl w:val="D56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9"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50"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268509867">
    <w:abstractNumId w:val="27"/>
  </w:num>
  <w:num w:numId="2" w16cid:durableId="138697541">
    <w:abstractNumId w:val="30"/>
  </w:num>
  <w:num w:numId="3" w16cid:durableId="1949660888">
    <w:abstractNumId w:val="31"/>
  </w:num>
  <w:num w:numId="4" w16cid:durableId="1967153052">
    <w:abstractNumId w:val="22"/>
  </w:num>
  <w:num w:numId="5" w16cid:durableId="1382099609">
    <w:abstractNumId w:val="23"/>
  </w:num>
  <w:num w:numId="6" w16cid:durableId="1921597410">
    <w:abstractNumId w:val="18"/>
  </w:num>
  <w:num w:numId="7" w16cid:durableId="256183244">
    <w:abstractNumId w:val="20"/>
  </w:num>
  <w:num w:numId="8" w16cid:durableId="1444810389">
    <w:abstractNumId w:val="37"/>
  </w:num>
  <w:num w:numId="9" w16cid:durableId="1596746798">
    <w:abstractNumId w:val="11"/>
  </w:num>
  <w:num w:numId="10" w16cid:durableId="58210717">
    <w:abstractNumId w:val="29"/>
  </w:num>
  <w:num w:numId="11" w16cid:durableId="641275043">
    <w:abstractNumId w:val="7"/>
  </w:num>
  <w:num w:numId="12" w16cid:durableId="1648704235">
    <w:abstractNumId w:val="5"/>
  </w:num>
  <w:num w:numId="13" w16cid:durableId="2103332863">
    <w:abstractNumId w:val="39"/>
  </w:num>
  <w:num w:numId="14" w16cid:durableId="1990740493">
    <w:abstractNumId w:val="21"/>
  </w:num>
  <w:num w:numId="15" w16cid:durableId="911894520">
    <w:abstractNumId w:val="16"/>
  </w:num>
  <w:num w:numId="16" w16cid:durableId="1352299354">
    <w:abstractNumId w:val="19"/>
  </w:num>
  <w:num w:numId="17" w16cid:durableId="2019116446">
    <w:abstractNumId w:val="12"/>
  </w:num>
  <w:num w:numId="18" w16cid:durableId="524094818">
    <w:abstractNumId w:val="17"/>
  </w:num>
  <w:num w:numId="19" w16cid:durableId="510531094">
    <w:abstractNumId w:val="10"/>
  </w:num>
  <w:num w:numId="20" w16cid:durableId="97213818">
    <w:abstractNumId w:val="6"/>
  </w:num>
  <w:num w:numId="21" w16cid:durableId="836456275">
    <w:abstractNumId w:val="33"/>
  </w:num>
  <w:num w:numId="22" w16cid:durableId="219440947">
    <w:abstractNumId w:val="3"/>
  </w:num>
  <w:num w:numId="23" w16cid:durableId="1265112329">
    <w:abstractNumId w:val="1"/>
  </w:num>
  <w:num w:numId="24" w16cid:durableId="426997139">
    <w:abstractNumId w:val="40"/>
  </w:num>
  <w:num w:numId="25" w16cid:durableId="556819174">
    <w:abstractNumId w:val="26"/>
  </w:num>
  <w:num w:numId="26" w16cid:durableId="1268349437">
    <w:abstractNumId w:val="42"/>
  </w:num>
  <w:num w:numId="27" w16cid:durableId="1167789996">
    <w:abstractNumId w:val="24"/>
  </w:num>
  <w:num w:numId="28" w16cid:durableId="557476346">
    <w:abstractNumId w:val="38"/>
  </w:num>
  <w:num w:numId="29" w16cid:durableId="2064403122">
    <w:abstractNumId w:val="44"/>
  </w:num>
  <w:num w:numId="30" w16cid:durableId="949624777">
    <w:abstractNumId w:val="34"/>
  </w:num>
  <w:num w:numId="31" w16cid:durableId="658382354">
    <w:abstractNumId w:val="48"/>
  </w:num>
  <w:num w:numId="32" w16cid:durableId="1814062915">
    <w:abstractNumId w:val="14"/>
  </w:num>
  <w:num w:numId="33" w16cid:durableId="1587154662">
    <w:abstractNumId w:val="50"/>
  </w:num>
  <w:num w:numId="34" w16cid:durableId="1606496291">
    <w:abstractNumId w:val="45"/>
  </w:num>
  <w:num w:numId="35" w16cid:durableId="1911770433">
    <w:abstractNumId w:val="15"/>
  </w:num>
  <w:num w:numId="36" w16cid:durableId="798378122">
    <w:abstractNumId w:val="2"/>
  </w:num>
  <w:num w:numId="37" w16cid:durableId="503593858">
    <w:abstractNumId w:val="49"/>
  </w:num>
  <w:num w:numId="38" w16cid:durableId="1614752738">
    <w:abstractNumId w:val="46"/>
  </w:num>
  <w:num w:numId="39" w16cid:durableId="1759403952">
    <w:abstractNumId w:val="4"/>
  </w:num>
  <w:num w:numId="40" w16cid:durableId="1797521599">
    <w:abstractNumId w:val="25"/>
  </w:num>
  <w:num w:numId="41" w16cid:durableId="696584538">
    <w:abstractNumId w:val="35"/>
  </w:num>
  <w:num w:numId="42" w16cid:durableId="1329360810">
    <w:abstractNumId w:val="36"/>
  </w:num>
  <w:num w:numId="43" w16cid:durableId="333268241">
    <w:abstractNumId w:val="43"/>
  </w:num>
  <w:num w:numId="44" w16cid:durableId="1166751635">
    <w:abstractNumId w:val="28"/>
  </w:num>
  <w:num w:numId="45" w16cid:durableId="1500846100">
    <w:abstractNumId w:val="47"/>
  </w:num>
  <w:num w:numId="46" w16cid:durableId="551815988">
    <w:abstractNumId w:val="9"/>
  </w:num>
  <w:num w:numId="47" w16cid:durableId="1820540258">
    <w:abstractNumId w:val="8"/>
  </w:num>
  <w:num w:numId="48" w16cid:durableId="482234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2059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457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256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BD"/>
    <w:rsid w:val="000760CA"/>
    <w:rsid w:val="00082800"/>
    <w:rsid w:val="00086A88"/>
    <w:rsid w:val="000A1366"/>
    <w:rsid w:val="000A2E93"/>
    <w:rsid w:val="000D4BE1"/>
    <w:rsid w:val="000E3594"/>
    <w:rsid w:val="000F55CD"/>
    <w:rsid w:val="00112A59"/>
    <w:rsid w:val="00113374"/>
    <w:rsid w:val="00114D27"/>
    <w:rsid w:val="00126F46"/>
    <w:rsid w:val="0013321E"/>
    <w:rsid w:val="00136E00"/>
    <w:rsid w:val="001446E4"/>
    <w:rsid w:val="00155CE5"/>
    <w:rsid w:val="001616E1"/>
    <w:rsid w:val="0016402F"/>
    <w:rsid w:val="001912DB"/>
    <w:rsid w:val="0019137D"/>
    <w:rsid w:val="00197986"/>
    <w:rsid w:val="001A0AB9"/>
    <w:rsid w:val="001A2E09"/>
    <w:rsid w:val="001D607C"/>
    <w:rsid w:val="001F60BD"/>
    <w:rsid w:val="00204CDF"/>
    <w:rsid w:val="002059B3"/>
    <w:rsid w:val="0021726E"/>
    <w:rsid w:val="00266CF4"/>
    <w:rsid w:val="00267441"/>
    <w:rsid w:val="00277B04"/>
    <w:rsid w:val="00277EE4"/>
    <w:rsid w:val="002842EE"/>
    <w:rsid w:val="002A5511"/>
    <w:rsid w:val="002A71E5"/>
    <w:rsid w:val="002B0D43"/>
    <w:rsid w:val="002B2E31"/>
    <w:rsid w:val="002D3293"/>
    <w:rsid w:val="002D61C2"/>
    <w:rsid w:val="002E271E"/>
    <w:rsid w:val="002E2D68"/>
    <w:rsid w:val="003008A0"/>
    <w:rsid w:val="003012D7"/>
    <w:rsid w:val="00306170"/>
    <w:rsid w:val="003214E8"/>
    <w:rsid w:val="00321E4A"/>
    <w:rsid w:val="00325795"/>
    <w:rsid w:val="0035191A"/>
    <w:rsid w:val="00373509"/>
    <w:rsid w:val="00374B93"/>
    <w:rsid w:val="00377069"/>
    <w:rsid w:val="00385559"/>
    <w:rsid w:val="003A6BFB"/>
    <w:rsid w:val="003C07DC"/>
    <w:rsid w:val="003C2FE2"/>
    <w:rsid w:val="003D3DEB"/>
    <w:rsid w:val="003E331D"/>
    <w:rsid w:val="003E3DC9"/>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825D1"/>
    <w:rsid w:val="004946E5"/>
    <w:rsid w:val="004A398B"/>
    <w:rsid w:val="004B6A6B"/>
    <w:rsid w:val="004C4C1F"/>
    <w:rsid w:val="004C66BB"/>
    <w:rsid w:val="004C72E0"/>
    <w:rsid w:val="004D6913"/>
    <w:rsid w:val="004D7383"/>
    <w:rsid w:val="004E24B0"/>
    <w:rsid w:val="004E73FB"/>
    <w:rsid w:val="004F46BD"/>
    <w:rsid w:val="0051613B"/>
    <w:rsid w:val="005302AB"/>
    <w:rsid w:val="00530AE0"/>
    <w:rsid w:val="00534AA0"/>
    <w:rsid w:val="0057263C"/>
    <w:rsid w:val="00582111"/>
    <w:rsid w:val="0058311C"/>
    <w:rsid w:val="0058739D"/>
    <w:rsid w:val="00595C2F"/>
    <w:rsid w:val="005B3C63"/>
    <w:rsid w:val="005B3D5E"/>
    <w:rsid w:val="005B70BF"/>
    <w:rsid w:val="005C6186"/>
    <w:rsid w:val="005C67EC"/>
    <w:rsid w:val="0060561D"/>
    <w:rsid w:val="00637FBD"/>
    <w:rsid w:val="00651332"/>
    <w:rsid w:val="00653F65"/>
    <w:rsid w:val="006736AC"/>
    <w:rsid w:val="0067562B"/>
    <w:rsid w:val="0069049B"/>
    <w:rsid w:val="006A1D5D"/>
    <w:rsid w:val="006A1DB1"/>
    <w:rsid w:val="006A2366"/>
    <w:rsid w:val="006B0599"/>
    <w:rsid w:val="006B34E5"/>
    <w:rsid w:val="006C1748"/>
    <w:rsid w:val="006D231C"/>
    <w:rsid w:val="006D4EDB"/>
    <w:rsid w:val="006E3D15"/>
    <w:rsid w:val="006E5769"/>
    <w:rsid w:val="0070101C"/>
    <w:rsid w:val="00705C62"/>
    <w:rsid w:val="00712731"/>
    <w:rsid w:val="00713FD4"/>
    <w:rsid w:val="007201BC"/>
    <w:rsid w:val="00722636"/>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34B34"/>
    <w:rsid w:val="00890A9B"/>
    <w:rsid w:val="008952CB"/>
    <w:rsid w:val="008964C8"/>
    <w:rsid w:val="008D45F9"/>
    <w:rsid w:val="008E0017"/>
    <w:rsid w:val="008E50D6"/>
    <w:rsid w:val="008E5FDE"/>
    <w:rsid w:val="008F4804"/>
    <w:rsid w:val="008F7027"/>
    <w:rsid w:val="00903478"/>
    <w:rsid w:val="00910907"/>
    <w:rsid w:val="009132DF"/>
    <w:rsid w:val="009135C5"/>
    <w:rsid w:val="009147B6"/>
    <w:rsid w:val="00922ED9"/>
    <w:rsid w:val="009261EE"/>
    <w:rsid w:val="009303AF"/>
    <w:rsid w:val="0093117A"/>
    <w:rsid w:val="00942EF6"/>
    <w:rsid w:val="00952C52"/>
    <w:rsid w:val="00956A50"/>
    <w:rsid w:val="009576A2"/>
    <w:rsid w:val="00965851"/>
    <w:rsid w:val="00976890"/>
    <w:rsid w:val="009A043D"/>
    <w:rsid w:val="009A0F2F"/>
    <w:rsid w:val="009B0234"/>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AB2"/>
    <w:rsid w:val="00AD13B2"/>
    <w:rsid w:val="00AD5793"/>
    <w:rsid w:val="00AD79B5"/>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1B66"/>
    <w:rsid w:val="00BA763E"/>
    <w:rsid w:val="00BC0945"/>
    <w:rsid w:val="00BE321F"/>
    <w:rsid w:val="00BF1FEC"/>
    <w:rsid w:val="00C051FC"/>
    <w:rsid w:val="00C12599"/>
    <w:rsid w:val="00C23725"/>
    <w:rsid w:val="00C247F5"/>
    <w:rsid w:val="00C25F07"/>
    <w:rsid w:val="00C320BB"/>
    <w:rsid w:val="00C3506E"/>
    <w:rsid w:val="00C36BBD"/>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25BDF"/>
    <w:rsid w:val="00D3506D"/>
    <w:rsid w:val="00D41DD5"/>
    <w:rsid w:val="00D55F49"/>
    <w:rsid w:val="00D60B6C"/>
    <w:rsid w:val="00D62C48"/>
    <w:rsid w:val="00D76369"/>
    <w:rsid w:val="00DA796D"/>
    <w:rsid w:val="00DB24BB"/>
    <w:rsid w:val="00DC6FDA"/>
    <w:rsid w:val="00DD150F"/>
    <w:rsid w:val="00DE6F70"/>
    <w:rsid w:val="00DF6458"/>
    <w:rsid w:val="00DF7ED3"/>
    <w:rsid w:val="00E0620C"/>
    <w:rsid w:val="00E07579"/>
    <w:rsid w:val="00E11AC3"/>
    <w:rsid w:val="00E201C3"/>
    <w:rsid w:val="00E2022E"/>
    <w:rsid w:val="00E20928"/>
    <w:rsid w:val="00E23F35"/>
    <w:rsid w:val="00E27010"/>
    <w:rsid w:val="00E370F1"/>
    <w:rsid w:val="00E4198F"/>
    <w:rsid w:val="00E51ED5"/>
    <w:rsid w:val="00E53507"/>
    <w:rsid w:val="00E544C8"/>
    <w:rsid w:val="00E54E5D"/>
    <w:rsid w:val="00E559B6"/>
    <w:rsid w:val="00E56BE0"/>
    <w:rsid w:val="00E57452"/>
    <w:rsid w:val="00E63798"/>
    <w:rsid w:val="00E65BA0"/>
    <w:rsid w:val="00E722C6"/>
    <w:rsid w:val="00E8018F"/>
    <w:rsid w:val="00E8337A"/>
    <w:rsid w:val="00E83867"/>
    <w:rsid w:val="00E91491"/>
    <w:rsid w:val="00E92670"/>
    <w:rsid w:val="00E968DD"/>
    <w:rsid w:val="00EA1B93"/>
    <w:rsid w:val="00EA5F8C"/>
    <w:rsid w:val="00EA6404"/>
    <w:rsid w:val="00EB204B"/>
    <w:rsid w:val="00EB6545"/>
    <w:rsid w:val="00EC73BC"/>
    <w:rsid w:val="00ED17FD"/>
    <w:rsid w:val="00ED615E"/>
    <w:rsid w:val="00EE1182"/>
    <w:rsid w:val="00EE64B2"/>
    <w:rsid w:val="00EF7F7C"/>
    <w:rsid w:val="00F01626"/>
    <w:rsid w:val="00F03D9B"/>
    <w:rsid w:val="00F05653"/>
    <w:rsid w:val="00F07B38"/>
    <w:rsid w:val="00F147BD"/>
    <w:rsid w:val="00F54D77"/>
    <w:rsid w:val="00F557BE"/>
    <w:rsid w:val="00F62874"/>
    <w:rsid w:val="00F6321C"/>
    <w:rsid w:val="00F66428"/>
    <w:rsid w:val="00F667EF"/>
    <w:rsid w:val="00F72768"/>
    <w:rsid w:val="00F747A5"/>
    <w:rsid w:val="00F747C5"/>
    <w:rsid w:val="00F84227"/>
    <w:rsid w:val="00F84BCB"/>
    <w:rsid w:val="00F92CBB"/>
    <w:rsid w:val="00FA6D77"/>
    <w:rsid w:val="00FC1A5A"/>
    <w:rsid w:val="00FC5FA2"/>
    <w:rsid w:val="00FD0F87"/>
    <w:rsid w:val="00FD599C"/>
    <w:rsid w:val="00FE0C4E"/>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Captio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NoSpacing">
    <w:name w:val="No Spacing"/>
    <w:uiPriority w:val="1"/>
    <w:qFormat/>
    <w:rsid w:val="00004719"/>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32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saptomo@borobudur.ac.id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E2C-B263-4632-B4B5-E11FA4D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fitria yut</cp:lastModifiedBy>
  <cp:revision>2</cp:revision>
  <dcterms:created xsi:type="dcterms:W3CDTF">2024-11-20T09:03:00Z</dcterms:created>
  <dcterms:modified xsi:type="dcterms:W3CDTF">2024-11-20T09:03:00Z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7850337b-5d84-33a9-beef-aae67ee29eca</vt:lpwstr>
  </property>
  <property fmtid="{D5CDD505-2E9C-101B-9397-08002B2CF9AE}" pid="25" name="Mendeley Citation Style_1">
    <vt:lpwstr>http://www.zotero.org/styles/apa</vt:lpwstr>
  </property>
</Properties>
</file>